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053482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5E50B7">
        <w:rPr>
          <w:rFonts w:ascii="Arial" w:hAnsi="Arial" w:cs="Arial"/>
          <w:b/>
          <w:sz w:val="20"/>
          <w:szCs w:val="20"/>
        </w:rPr>
        <w:t>48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50B7">
        <w:rPr>
          <w:rFonts w:ascii="Arial" w:hAnsi="Arial" w:cs="Arial"/>
          <w:b/>
          <w:sz w:val="20"/>
          <w:szCs w:val="20"/>
        </w:rPr>
        <w:t>20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5E50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Institui, dentro dos limites do Município de Ferraz de Vasconcelos, a obrigatoriedade de cobrança de meio (1/2) ingresso à estudantes, em locais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F6A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E50B7">
        <w:rPr>
          <w:rFonts w:ascii="Arial" w:hAnsi="Arial" w:cs="Arial"/>
          <w:sz w:val="20"/>
          <w:szCs w:val="20"/>
        </w:rPr>
        <w:t>Todos os promotores de atividades relacionada com diversões públicas, dentro dos limites do Município de Ferraz de Vasconcelos, ficam obrigados a cobrar dos estudantes que comprovarem ser alunos de cursos regulares de 1º e 2º graus ingresso pela metade do valor normal.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C1D" w:rsidRDefault="004E1C1D" w:rsidP="005E50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50B7">
        <w:rPr>
          <w:rFonts w:ascii="Arial" w:hAnsi="Arial" w:cs="Arial"/>
          <w:sz w:val="20"/>
          <w:szCs w:val="20"/>
        </w:rPr>
        <w:t>São atingidas por esta Lei as seguintes atividades: exibição de filmes, peças teatrais, shows, circos, clube de bailes ou salões, parques de diversões e similares, feiras, museus, mostras e competições esportivas</w:t>
      </w:r>
      <w:r>
        <w:rPr>
          <w:rFonts w:ascii="Arial" w:hAnsi="Arial" w:cs="Arial"/>
          <w:sz w:val="20"/>
          <w:szCs w:val="20"/>
        </w:rPr>
        <w:t>.</w:t>
      </w: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0B7" w:rsidRDefault="005E50B7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À comprovação de que trata o artigo 1º, far-se-á através da apresentação, por parte do beneficiado, de cédula de identificação fornecida pela escola que esteja frequentando, com validade anual.</w:t>
      </w:r>
    </w:p>
    <w:p w:rsidR="005E50B7" w:rsidRDefault="005E50B7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50B7" w:rsidRDefault="005E50B7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Ficam excluídas da obrigatoriedade desta Lei, as promoções de caráter beneficente em favor de entidades consideradas pelo Município como de utilidade pública.</w:t>
      </w:r>
    </w:p>
    <w:p w:rsidR="005E50B7" w:rsidRPr="005E50B7" w:rsidRDefault="005E50B7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0B7">
        <w:rPr>
          <w:rFonts w:ascii="Arial" w:hAnsi="Arial" w:cs="Arial"/>
          <w:b/>
          <w:sz w:val="20"/>
          <w:szCs w:val="20"/>
        </w:rPr>
        <w:t>5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5E50B7">
        <w:rPr>
          <w:rFonts w:ascii="Arial" w:hAnsi="Arial" w:cs="Arial"/>
          <w:sz w:val="20"/>
          <w:szCs w:val="20"/>
        </w:rPr>
        <w:t>20</w:t>
      </w:r>
      <w:r w:rsidR="00A07989">
        <w:rPr>
          <w:rFonts w:ascii="Arial" w:hAnsi="Arial" w:cs="Arial"/>
          <w:sz w:val="20"/>
          <w:szCs w:val="20"/>
        </w:rPr>
        <w:t xml:space="preserve">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482" w:rsidRDefault="00053482" w:rsidP="000534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053482" w:rsidRDefault="00053482" w:rsidP="000534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482" w:rsidRDefault="00053482" w:rsidP="000534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53482" w:rsidRDefault="00053482" w:rsidP="000534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48" w:rsidRDefault="00C06748" w:rsidP="009243B3">
      <w:pPr>
        <w:spacing w:after="0" w:line="240" w:lineRule="auto"/>
      </w:pPr>
      <w:r>
        <w:separator/>
      </w:r>
    </w:p>
  </w:endnote>
  <w:endnote w:type="continuationSeparator" w:id="0">
    <w:p w:rsidR="00C06748" w:rsidRDefault="00C067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48" w:rsidRDefault="00C06748" w:rsidP="009243B3">
      <w:pPr>
        <w:spacing w:after="0" w:line="240" w:lineRule="auto"/>
      </w:pPr>
      <w:r>
        <w:separator/>
      </w:r>
    </w:p>
  </w:footnote>
  <w:footnote w:type="continuationSeparator" w:id="0">
    <w:p w:rsidR="00C06748" w:rsidRDefault="00C067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53482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7F6AF4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06748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  <w:rsid w:val="00FB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A7D8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BF21-5BC2-483F-B55C-2E7DF322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2019-04-13T15:21:00Z</dcterms:created>
  <dcterms:modified xsi:type="dcterms:W3CDTF">2019-04-18T16:51:00Z</dcterms:modified>
</cp:coreProperties>
</file>