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27A7C">
        <w:rPr>
          <w:rFonts w:ascii="Arial" w:hAnsi="Arial" w:cs="Arial"/>
          <w:b/>
          <w:sz w:val="20"/>
          <w:szCs w:val="20"/>
        </w:rPr>
        <w:t>1.917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27A7C">
        <w:rPr>
          <w:rFonts w:ascii="Arial" w:hAnsi="Arial" w:cs="Arial"/>
          <w:b/>
          <w:sz w:val="20"/>
          <w:szCs w:val="20"/>
        </w:rPr>
        <w:t>22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27A7C">
        <w:rPr>
          <w:rFonts w:ascii="Arial" w:hAnsi="Arial" w:cs="Arial"/>
          <w:sz w:val="20"/>
          <w:szCs w:val="20"/>
        </w:rPr>
        <w:t>eclara de utilidade pública para fins de desapropriação, área de terra que especifica.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9A6EA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A7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27A7C">
        <w:rPr>
          <w:rFonts w:ascii="Arial" w:hAnsi="Arial" w:cs="Arial"/>
          <w:sz w:val="20"/>
          <w:szCs w:val="20"/>
        </w:rPr>
        <w:t>declarada de utilidade pública, para fins de desapropriação, área de terra localizada na Vila Romanópolis, zona central do Município, conforme Memorial Descritivo e planta constante dos anexos, que passam a fazer parte integrante desta Lei.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</w:t>
      </w:r>
      <w:r w:rsidR="00627A7C">
        <w:rPr>
          <w:rFonts w:ascii="Arial" w:hAnsi="Arial" w:cs="Arial"/>
          <w:sz w:val="20"/>
          <w:szCs w:val="20"/>
        </w:rPr>
        <w:t xml:space="preserve"> área destina-se à instalação de um mercado municipal.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A7C" w:rsidRDefault="00627A7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A7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627A7C" w:rsidRDefault="00627A7C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27A7C">
        <w:rPr>
          <w:rFonts w:ascii="Arial" w:hAnsi="Arial" w:cs="Arial"/>
          <w:b/>
          <w:sz w:val="20"/>
          <w:szCs w:val="20"/>
        </w:rPr>
        <w:t>3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27A7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A6EA4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833F5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E5B98A27-18DC-4169-83F0-432F588E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A5BD-9C75-45DA-85A3-3F2FDD81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2019-04-22T13:36:00Z</dcterms:modified>
</cp:coreProperties>
</file>