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1499">
        <w:rPr>
          <w:rFonts w:ascii="Arial" w:hAnsi="Arial" w:cs="Arial"/>
          <w:b/>
          <w:sz w:val="20"/>
          <w:szCs w:val="20"/>
        </w:rPr>
        <w:t>1.924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11499">
        <w:rPr>
          <w:rFonts w:ascii="Arial" w:hAnsi="Arial" w:cs="Arial"/>
          <w:b/>
          <w:sz w:val="20"/>
          <w:szCs w:val="20"/>
        </w:rPr>
        <w:t>27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4E6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611499">
        <w:rPr>
          <w:rFonts w:ascii="Arial" w:hAnsi="Arial" w:cs="Arial"/>
          <w:sz w:val="20"/>
          <w:szCs w:val="20"/>
        </w:rPr>
        <w:t>alterada a denominação da atual Rua “Vinte e Dois”, que passa a denominar-se Rua Francisco Fernandes.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Avenida Rosa Teixeira Bueno, termina nos limites do loteamento e localiza-se no Parque São Francisco.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611499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4E6B6B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11E1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C6BE68C-663E-45A0-9B20-FE24012A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89A0-4D9B-4DAB-B82A-316FD82E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dcterms:created xsi:type="dcterms:W3CDTF">2019-04-05T16:42:00Z</dcterms:created>
  <dcterms:modified xsi:type="dcterms:W3CDTF">2019-04-22T13:56:00Z</dcterms:modified>
</cp:coreProperties>
</file>