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433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2433E1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3524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A3524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33E1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Taxa de Iluminação Pública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A3524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3A352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433E1">
        <w:rPr>
          <w:rFonts w:ascii="Arial" w:hAnsi="Arial" w:cs="Arial"/>
          <w:sz w:val="20"/>
          <w:szCs w:val="20"/>
        </w:rPr>
        <w:t>A Taxa de iluminação pública tem como fato gerador a utilização efetiva ou potencial dos serviços de iluminação pública nas vias e logradouros públicos, prestados aos contribuintes ou postos a sua disposição.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3E1">
        <w:rPr>
          <w:rFonts w:ascii="Arial" w:hAnsi="Arial" w:cs="Arial"/>
          <w:sz w:val="20"/>
          <w:szCs w:val="20"/>
        </w:rPr>
        <w:t>A Taxa será devida pelos proprietários, inquilinos, ocupantes e moradores de imóveis edificados em locais que se dê a atuação da Prefeitura, cujo imóvel é servido efetiva e potencialmente, pelos serviços de iluminação pública.</w:t>
      </w:r>
    </w:p>
    <w:p w:rsidR="002433E1" w:rsidRDefault="002433E1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3E1" w:rsidRDefault="002433E1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base de cálculo utilizada para a taxa é o custo do serviço de iluminação pública, conforme viera a ser disposto em ato do Poder Executivo.</w:t>
      </w:r>
    </w:p>
    <w:p w:rsidR="002433E1" w:rsidRDefault="002433E1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3E1" w:rsidRDefault="002433E1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Taxa definida no artigo 1º incidirá por segmento-tipo,</w:t>
      </w:r>
      <w:r w:rsidR="006342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ser estipulada em convênio que deverá ser firmado entre a Prefeitura e a Eletropaulo, variável em função do consumo médio anual de energia elétrica.</w:t>
      </w:r>
    </w:p>
    <w:p w:rsidR="002433E1" w:rsidRDefault="002433E1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3E1" w:rsidRDefault="002433E1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aplicação da Taxa de iluminação pública em relação aos imóveis urbanos, não ligados a rede de distribuição de energia elétrica, poderá ser feita pela Prefeitura Municipal juntamente com o Imposto Predial e Territorial Urbano.</w:t>
      </w: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São isentos do pagamento de Taxa de iluminação pública;</w:t>
      </w: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 proprietários possuidores ou detentores do domínio útil de imóveis rurais e;</w:t>
      </w: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 poderes públicos.</w:t>
      </w: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Fica o Poder Executivo autorizado a celebrar convênio com a Eletropaulo – Eletricidade de São Paulo S/A, transferindo-lhes os referidos encargos de arrecadação e controle da Taxa de iluminação pública.</w:t>
      </w: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produto da arrecadação mensal da Taxa de iluminação pública, efetuado pela Eletropaulo – Eletricidade de São Paulo S/A,</w:t>
      </w:r>
      <w:r w:rsidR="006342D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será por essa contabilizada em conta própria, para quitação do custo mensal dos serviços de iluminação pública, cujo o débito dará somente após prestação dos serviços no mês em referência.</w:t>
      </w: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36A" w:rsidRDefault="0028736A" w:rsidP="002433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36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demonstração desses valores deverá ser comunicada mensalmente à Prefeitura, pela Eletropaulo – Eletricidade de São Paulo S/A, para efeito de controle e referência.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2873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28736A">
        <w:rPr>
          <w:rFonts w:ascii="Arial" w:hAnsi="Arial" w:cs="Arial"/>
          <w:b/>
          <w:bCs/>
          <w:sz w:val="20"/>
          <w:szCs w:val="20"/>
        </w:rPr>
        <w:t>9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3524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524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6B" w:rsidRDefault="00261B6B" w:rsidP="009243B3">
      <w:pPr>
        <w:spacing w:after="0" w:line="240" w:lineRule="auto"/>
      </w:pPr>
      <w:r>
        <w:separator/>
      </w:r>
    </w:p>
  </w:endnote>
  <w:endnote w:type="continuationSeparator" w:id="0">
    <w:p w:rsidR="00261B6B" w:rsidRDefault="00261B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6B" w:rsidRDefault="00261B6B" w:rsidP="009243B3">
      <w:pPr>
        <w:spacing w:after="0" w:line="240" w:lineRule="auto"/>
      </w:pPr>
      <w:r>
        <w:separator/>
      </w:r>
    </w:p>
  </w:footnote>
  <w:footnote w:type="continuationSeparator" w:id="0">
    <w:p w:rsidR="00261B6B" w:rsidRDefault="00261B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1B6B"/>
    <w:rsid w:val="00263700"/>
    <w:rsid w:val="00264150"/>
    <w:rsid w:val="0026656A"/>
    <w:rsid w:val="00266C0B"/>
    <w:rsid w:val="00272DE9"/>
    <w:rsid w:val="00274981"/>
    <w:rsid w:val="00276BCA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2D6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A998911F-A412-4DD8-AC08-9851C7CF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2019-04-13T12:24:00Z</dcterms:created>
  <dcterms:modified xsi:type="dcterms:W3CDTF">2019-04-22T16:50:00Z</dcterms:modified>
</cp:coreProperties>
</file>