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A3A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CA3A7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CA3A7E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CA3A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3A7E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o Executivo Municipal autorizado a abrir um Crédito Adicional Especial até a importância de Cr$ 4.635.141,31 (quatro milhões, seiscentos e trinta e cinco mil, cento e quarenta e um cruzeiros e trinta e um centavos), destinado a atender despesa com atualização de valores devidos ao Servidor RUBENS TREDICI NA SILVA – proveniente da Ação Ordinária – Processo nº 1.043, da 1ª Vara Distrital de Ferraz de Vasconcelos.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4.320/64.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4A05C9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A3A7E">
        <w:rPr>
          <w:rFonts w:ascii="Arial" w:hAnsi="Arial" w:cs="Arial"/>
          <w:b/>
          <w:bCs/>
          <w:sz w:val="20"/>
          <w:szCs w:val="20"/>
        </w:rPr>
        <w:t>3</w:t>
      </w:r>
      <w:r w:rsidRPr="004A05C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CA3A7E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CA3A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CA3A7E">
        <w:rPr>
          <w:rFonts w:ascii="Arial" w:hAnsi="Arial" w:cs="Arial"/>
          <w:sz w:val="20"/>
          <w:szCs w:val="20"/>
        </w:rPr>
        <w:t>ra do Depto. de Contab. e Orçamento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14" w:rsidRDefault="004B7814" w:rsidP="009243B3">
      <w:pPr>
        <w:spacing w:after="0" w:line="240" w:lineRule="auto"/>
      </w:pPr>
      <w:r>
        <w:separator/>
      </w:r>
    </w:p>
  </w:endnote>
  <w:endnote w:type="continuationSeparator" w:id="1">
    <w:p w:rsidR="004B7814" w:rsidRDefault="004B78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14" w:rsidRDefault="004B7814" w:rsidP="009243B3">
      <w:pPr>
        <w:spacing w:after="0" w:line="240" w:lineRule="auto"/>
      </w:pPr>
      <w:r>
        <w:separator/>
      </w:r>
    </w:p>
  </w:footnote>
  <w:footnote w:type="continuationSeparator" w:id="1">
    <w:p w:rsidR="004B7814" w:rsidRDefault="004B78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B7814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2019-04-13T18:16:00Z</dcterms:created>
  <dcterms:modified xsi:type="dcterms:W3CDTF">2019-04-13T18:19:00Z</dcterms:modified>
</cp:coreProperties>
</file>