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C44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5C44D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3A476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5C44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</w:t>
      </w:r>
      <w:r w:rsidR="003541B8">
        <w:rPr>
          <w:rFonts w:ascii="Arial" w:hAnsi="Arial" w:cs="Arial"/>
          <w:sz w:val="20"/>
          <w:szCs w:val="20"/>
        </w:rPr>
        <w:t xml:space="preserve"> atua</w:t>
      </w:r>
      <w:r w:rsidR="003A4769">
        <w:rPr>
          <w:rFonts w:ascii="Arial" w:hAnsi="Arial" w:cs="Arial"/>
          <w:sz w:val="20"/>
          <w:szCs w:val="20"/>
        </w:rPr>
        <w:t>l</w:t>
      </w:r>
      <w:r w:rsidR="003541B8">
        <w:rPr>
          <w:rFonts w:ascii="Arial" w:hAnsi="Arial" w:cs="Arial"/>
          <w:sz w:val="20"/>
          <w:szCs w:val="20"/>
        </w:rPr>
        <w:t xml:space="preserve"> Rua</w:t>
      </w:r>
      <w:r w:rsidR="003A4769">
        <w:rPr>
          <w:rFonts w:ascii="Arial" w:hAnsi="Arial" w:cs="Arial"/>
          <w:sz w:val="20"/>
          <w:szCs w:val="20"/>
        </w:rPr>
        <w:t xml:space="preserve"> </w:t>
      </w:r>
      <w:r w:rsidR="005C44D3">
        <w:rPr>
          <w:rFonts w:ascii="Arial" w:hAnsi="Arial" w:cs="Arial"/>
          <w:sz w:val="20"/>
          <w:szCs w:val="20"/>
        </w:rPr>
        <w:t>Quatro</w:t>
      </w:r>
      <w:r w:rsidR="003A4769">
        <w:rPr>
          <w:rFonts w:ascii="Arial" w:hAnsi="Arial" w:cs="Arial"/>
          <w:sz w:val="20"/>
          <w:szCs w:val="20"/>
        </w:rPr>
        <w:t xml:space="preserve">, que passa a denominar-se Rua </w:t>
      </w:r>
      <w:r w:rsidR="005C44D3">
        <w:rPr>
          <w:rFonts w:ascii="Arial" w:hAnsi="Arial" w:cs="Arial"/>
          <w:sz w:val="20"/>
          <w:szCs w:val="20"/>
        </w:rPr>
        <w:t>Goiás</w:t>
      </w:r>
      <w:r w:rsidR="003A4769">
        <w:rPr>
          <w:rFonts w:ascii="Arial" w:hAnsi="Arial" w:cs="Arial"/>
          <w:sz w:val="20"/>
          <w:szCs w:val="20"/>
        </w:rPr>
        <w:t>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5C44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 w:rsidR="005C44D3">
        <w:rPr>
          <w:rFonts w:ascii="Arial" w:hAnsi="Arial" w:cs="Arial"/>
          <w:sz w:val="20"/>
          <w:szCs w:val="20"/>
        </w:rPr>
        <w:t>rua inicia-se na Rua Mercedes Rodrigues e termina em área do loteamento denominado de Jardim TV.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438" w:rsidRDefault="00431438" w:rsidP="009243B3">
      <w:pPr>
        <w:spacing w:after="0" w:line="240" w:lineRule="auto"/>
      </w:pPr>
      <w:r>
        <w:separator/>
      </w:r>
    </w:p>
  </w:endnote>
  <w:endnote w:type="continuationSeparator" w:id="1">
    <w:p w:rsidR="00431438" w:rsidRDefault="004314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438" w:rsidRDefault="00431438" w:rsidP="009243B3">
      <w:pPr>
        <w:spacing w:after="0" w:line="240" w:lineRule="auto"/>
      </w:pPr>
      <w:r>
        <w:separator/>
      </w:r>
    </w:p>
  </w:footnote>
  <w:footnote w:type="continuationSeparator" w:id="1">
    <w:p w:rsidR="00431438" w:rsidRDefault="004314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1438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2019-04-13T18:36:00Z</dcterms:created>
  <dcterms:modified xsi:type="dcterms:W3CDTF">2019-04-13T18:37:00Z</dcterms:modified>
</cp:coreProperties>
</file>