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300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B3008B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2240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4224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B300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 xml:space="preserve">alterada a denominação da atual Rua </w:t>
      </w:r>
      <w:r w:rsidR="00B3008B">
        <w:rPr>
          <w:rFonts w:ascii="Arial" w:hAnsi="Arial" w:cs="Arial"/>
          <w:sz w:val="20"/>
          <w:szCs w:val="20"/>
        </w:rPr>
        <w:t>“Dois”</w:t>
      </w:r>
      <w:r w:rsidR="00B64864">
        <w:rPr>
          <w:rFonts w:ascii="Arial" w:hAnsi="Arial" w:cs="Arial"/>
          <w:sz w:val="20"/>
          <w:szCs w:val="20"/>
        </w:rPr>
        <w:t xml:space="preserve">, que passa a denominar-se Rua </w:t>
      </w:r>
      <w:r w:rsidR="00B3008B">
        <w:rPr>
          <w:rFonts w:ascii="Arial" w:hAnsi="Arial" w:cs="Arial"/>
          <w:sz w:val="20"/>
          <w:szCs w:val="20"/>
        </w:rPr>
        <w:t>Wesley de Abreu Ferreira.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B300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>A referida via pública inicia</w:t>
      </w:r>
      <w:r w:rsidR="00B3008B">
        <w:rPr>
          <w:rFonts w:ascii="Arial" w:hAnsi="Arial" w:cs="Arial"/>
          <w:sz w:val="20"/>
          <w:szCs w:val="20"/>
        </w:rPr>
        <w:t>-se na Rua Um, termina na divisa com o Município de Poá e localiza-se no loteamento denominado Sítio do Paiolzinho.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22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2240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24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5B" w:rsidRDefault="00AD585B" w:rsidP="009243B3">
      <w:pPr>
        <w:spacing w:after="0" w:line="240" w:lineRule="auto"/>
      </w:pPr>
      <w:r>
        <w:separator/>
      </w:r>
    </w:p>
  </w:endnote>
  <w:endnote w:type="continuationSeparator" w:id="1">
    <w:p w:rsidR="00AD585B" w:rsidRDefault="00AD58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5B" w:rsidRDefault="00AD585B" w:rsidP="009243B3">
      <w:pPr>
        <w:spacing w:after="0" w:line="240" w:lineRule="auto"/>
      </w:pPr>
      <w:r>
        <w:separator/>
      </w:r>
    </w:p>
  </w:footnote>
  <w:footnote w:type="continuationSeparator" w:id="1">
    <w:p w:rsidR="00AD585B" w:rsidRDefault="00AD58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85B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2019-04-14T12:13:00Z</dcterms:created>
  <dcterms:modified xsi:type="dcterms:W3CDTF">2019-04-14T12:14:00Z</dcterms:modified>
</cp:coreProperties>
</file>