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F02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F93757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93757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3FC7">
        <w:rPr>
          <w:rFonts w:ascii="Arial" w:hAnsi="Arial" w:cs="Arial"/>
          <w:b/>
          <w:sz w:val="20"/>
          <w:szCs w:val="20"/>
        </w:rPr>
        <w:t>JU</w:t>
      </w:r>
      <w:r w:rsidR="00F93757">
        <w:rPr>
          <w:rFonts w:ascii="Arial" w:hAnsi="Arial" w:cs="Arial"/>
          <w:b/>
          <w:sz w:val="20"/>
          <w:szCs w:val="20"/>
        </w:rPr>
        <w:t>L</w:t>
      </w:r>
      <w:r w:rsidR="00253FC7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93757" w:rsidP="007D69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e regulamenta a exposição de mercadorias em vitrines, na parte externa de estabelecimentos comerciais, devidamente inscritos nesta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6633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566333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566333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D56A3">
        <w:rPr>
          <w:rFonts w:ascii="Arial" w:hAnsi="Arial" w:cs="Arial"/>
          <w:sz w:val="20"/>
          <w:szCs w:val="20"/>
        </w:rPr>
        <w:t>Fica</w:t>
      </w:r>
      <w:r w:rsidR="00F93757">
        <w:rPr>
          <w:rFonts w:ascii="Arial" w:hAnsi="Arial" w:cs="Arial"/>
          <w:sz w:val="20"/>
          <w:szCs w:val="20"/>
        </w:rPr>
        <w:t>m autorizados, os estabelecimentos comerciais devidamente inscritos no Cadastro Mobiliário Municipal, a expor mercadorias em vitrines, na parte externa do estabelecimento, conforme medidas abaixo padronizadas: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espessura máxima de 0,15m (quinze centímetros);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distância mínima do solo 0,20 (vinte centímetros);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largura máxima – à critério do comerciante, dentro das divisas de seu estabelecimento;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altura máxima – à critério do comerciante, dentro das divisas de seu estabelecimento.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918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D6918" w:rsidRPr="007D691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Somente serão autorizadas a utilizar-se de vitrines os estabelecimentos comerciais sem frente para a via pública, cujos comércios estejam instalados em salas de edifícios ou sobrelojas.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75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Não será permitida, sob nenhuma hipótese, a exposição, depósito ou demonstração de mercadorias ou produtos, fora das dependências do estabelecimento.</w:t>
      </w: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75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estabelecimentos que não cumprirem as exigências acima, terão suas vitrines apreendidas e depositadas na Prefeitura Municipal, e a devolução será mediante pagamento de Taxa de Apreensão e Depósito, prevista no Código Tributário Municipal.</w:t>
      </w:r>
    </w:p>
    <w:p w:rsidR="001D56A3" w:rsidRDefault="001D56A3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1D56A3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6A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3757">
        <w:rPr>
          <w:rFonts w:ascii="Arial" w:hAnsi="Arial" w:cs="Arial"/>
          <w:b/>
          <w:bCs/>
          <w:sz w:val="20"/>
          <w:szCs w:val="20"/>
        </w:rPr>
        <w:t>5</w:t>
      </w:r>
      <w:r w:rsidRPr="001D56A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F93757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937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9375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53FC7">
        <w:rPr>
          <w:rFonts w:ascii="Arial" w:hAnsi="Arial" w:cs="Arial"/>
          <w:sz w:val="20"/>
          <w:szCs w:val="20"/>
        </w:rPr>
        <w:t>ju</w:t>
      </w:r>
      <w:r w:rsidR="00F93757">
        <w:rPr>
          <w:rFonts w:ascii="Arial" w:hAnsi="Arial" w:cs="Arial"/>
          <w:sz w:val="20"/>
          <w:szCs w:val="20"/>
        </w:rPr>
        <w:t>l</w:t>
      </w:r>
      <w:r w:rsidR="00253FC7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D3" w:rsidRDefault="00E179D3" w:rsidP="009243B3">
      <w:pPr>
        <w:spacing w:after="0" w:line="240" w:lineRule="auto"/>
      </w:pPr>
      <w:r>
        <w:separator/>
      </w:r>
    </w:p>
  </w:endnote>
  <w:endnote w:type="continuationSeparator" w:id="0">
    <w:p w:rsidR="00E179D3" w:rsidRDefault="00E179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D3" w:rsidRDefault="00E179D3" w:rsidP="009243B3">
      <w:pPr>
        <w:spacing w:after="0" w:line="240" w:lineRule="auto"/>
      </w:pPr>
      <w:r>
        <w:separator/>
      </w:r>
    </w:p>
  </w:footnote>
  <w:footnote w:type="continuationSeparator" w:id="0">
    <w:p w:rsidR="00E179D3" w:rsidRDefault="00E179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265C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2065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229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333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5F7B12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3377"/>
    <w:rsid w:val="00934A0B"/>
    <w:rsid w:val="00936211"/>
    <w:rsid w:val="0093667C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B5990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9D3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F02528DE-DF90-4E09-B855-D495AB75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2019-04-15T20:43:00Z</dcterms:created>
  <dcterms:modified xsi:type="dcterms:W3CDTF">2019-04-25T17:03:00Z</dcterms:modified>
</cp:coreProperties>
</file>