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826C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826C1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6C19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F03A8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1D15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modificações ao texto da Lei nº 1.904/91.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2720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272018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272018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03A8" w:rsidRDefault="009243B3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26C19">
        <w:rPr>
          <w:rFonts w:ascii="Arial" w:hAnsi="Arial" w:cs="Arial"/>
          <w:sz w:val="20"/>
          <w:szCs w:val="20"/>
        </w:rPr>
        <w:t>Os artigos 23, §§ 1º e 2º e artigo 24 da Lei nº 1.904, de 08 de agosto de 1991, que dispõe sobre a política municipal de atendimento dos direitos da criança e do adolescente, passam a vigorar com as seguintes redações:</w:t>
      </w: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C19" w:rsidRPr="00E948AE" w:rsidRDefault="00826C19" w:rsidP="004B110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“Seção V</w:t>
      </w:r>
    </w:p>
    <w:p w:rsidR="00826C19" w:rsidRPr="00E948AE" w:rsidRDefault="00826C19" w:rsidP="004B110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DO PRÓ-LABORE</w:t>
      </w: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Fica o Prefeito Municipal autorizado a conceder para o Conselheiro do Conselho Tutelar dos Direitos da Criança e do Adolescente, caracterizado como agente honorífico, um pró-labore mensal fixado em 03 (três) salários mínimos.</w:t>
      </w: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§ 1º</w:t>
      </w:r>
      <w:r w:rsidRPr="00C5571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pró-labore fixado não gera relação de emprego com a municipalidade.</w:t>
      </w: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Sendo o eleito, servidor público municipal, fica-lhe facultado, em caso de pró-labores, optar pelos vencimentos e vantagens de seu cargo, vedada a acumulação.</w:t>
      </w: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C19" w:rsidRDefault="00826C19" w:rsidP="00826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8AE">
        <w:rPr>
          <w:rFonts w:ascii="Arial" w:hAnsi="Arial" w:cs="Arial"/>
          <w:bCs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 pagamento do pró-labore será efetuado com recursos do Fundo Municipal dos Direitos da Criança e do </w:t>
      </w:r>
      <w:proofErr w:type="gramStart"/>
      <w:r>
        <w:rPr>
          <w:rFonts w:ascii="Arial" w:hAnsi="Arial" w:cs="Arial"/>
          <w:sz w:val="20"/>
          <w:szCs w:val="20"/>
        </w:rPr>
        <w:t>Adolescente.”</w:t>
      </w:r>
      <w:proofErr w:type="gramEnd"/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97C" w:rsidRDefault="00F93757" w:rsidP="004B1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4B110C">
        <w:rPr>
          <w:rFonts w:ascii="Arial" w:hAnsi="Arial" w:cs="Arial"/>
          <w:sz w:val="20"/>
          <w:szCs w:val="20"/>
        </w:rPr>
        <w:t>e seus efeitos retroagidos a 1º de agosto de 1998.</w:t>
      </w:r>
    </w:p>
    <w:p w:rsidR="004B110C" w:rsidRDefault="004B110C" w:rsidP="004B1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B110C" w:rsidP="004B1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10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Ficam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48AE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CF03A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2C" w:rsidRDefault="00FC252C" w:rsidP="009243B3">
      <w:pPr>
        <w:spacing w:after="0" w:line="240" w:lineRule="auto"/>
      </w:pPr>
      <w:r>
        <w:separator/>
      </w:r>
    </w:p>
  </w:endnote>
  <w:endnote w:type="continuationSeparator" w:id="0">
    <w:p w:rsidR="00FC252C" w:rsidRDefault="00FC25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2C" w:rsidRDefault="00FC252C" w:rsidP="009243B3">
      <w:pPr>
        <w:spacing w:after="0" w:line="240" w:lineRule="auto"/>
      </w:pPr>
      <w:r>
        <w:separator/>
      </w:r>
    </w:p>
  </w:footnote>
  <w:footnote w:type="continuationSeparator" w:id="0">
    <w:p w:rsidR="00FC252C" w:rsidRDefault="00FC25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5C64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018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6BBE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48AE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252C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002F4406"/>
  <w15:docId w15:val="{B9F26E32-EAF4-4A88-9B2E-6565117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2019-04-15T21:57:00Z</dcterms:created>
  <dcterms:modified xsi:type="dcterms:W3CDTF">2019-04-23T20:02:00Z</dcterms:modified>
</cp:coreProperties>
</file>