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883987">
        <w:rPr>
          <w:rFonts w:ascii="Arial" w:hAnsi="Arial" w:cs="Arial"/>
          <w:b/>
          <w:sz w:val="20"/>
          <w:szCs w:val="20"/>
        </w:rPr>
        <w:t>386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4403B7">
        <w:rPr>
          <w:rFonts w:ascii="Arial" w:hAnsi="Arial" w:cs="Arial"/>
          <w:b/>
          <w:sz w:val="20"/>
          <w:szCs w:val="20"/>
        </w:rPr>
        <w:t>8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839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disposições ao artigo 4º da Lei nº 2103/94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83987">
        <w:rPr>
          <w:rFonts w:ascii="Arial" w:hAnsi="Arial" w:cs="Arial"/>
          <w:sz w:val="20"/>
          <w:szCs w:val="20"/>
        </w:rPr>
        <w:t>O artigo 4º da Lei nº 2.103, de 15 de dezembro de 1994, que dispõe sobre a isenção de pagamentos relativos a IPTU, Taxas de Iluminação Pública e Recolhimento de Lixo e dá outras providências, passa a vigorar com as seguintes disposições: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4º </w:t>
      </w:r>
      <w:r w:rsidR="00614CF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614CF6">
        <w:rPr>
          <w:rFonts w:ascii="Arial" w:hAnsi="Arial" w:cs="Arial"/>
          <w:sz w:val="20"/>
          <w:szCs w:val="20"/>
        </w:rPr>
        <w:t>)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O pedido de isenção deverá ser instruído de cópia de Contrato de Compromisso de Compra e Venda ou </w:t>
      </w:r>
      <w:r w:rsidR="004403B7">
        <w:rPr>
          <w:rFonts w:ascii="Arial" w:hAnsi="Arial" w:cs="Arial"/>
          <w:sz w:val="20"/>
          <w:szCs w:val="20"/>
        </w:rPr>
        <w:t>Escritura do Imóvel; do CPF/MF; RG; Declaração de que é proprietário de um único imóvel no Município; Comprovante de rendimento mensal e Declaração de que resido no Município há pelo menos três anos.</w:t>
      </w:r>
    </w:p>
    <w:p w:rsidR="00614CF6" w:rsidRDefault="00614CF6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3B7" w:rsidRDefault="004403B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Uma vez concedida a isenção, é desnecessária a formalização de novos pedidos para anos subsequentes e a juntada de cópias da documentação constante do § 1º deste artigo.</w:t>
      </w:r>
    </w:p>
    <w:p w:rsidR="00614CF6" w:rsidRDefault="00614CF6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3B7" w:rsidRPr="008E1442" w:rsidRDefault="004403B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3º O órgão competente do Município deverá manter cadastro de benefícios e enviar correspondência com antecedência, solicitando o comparecimento dos interessados para atualização de </w:t>
      </w:r>
      <w:proofErr w:type="gramStart"/>
      <w:r>
        <w:rPr>
          <w:rFonts w:ascii="Arial" w:hAnsi="Arial" w:cs="Arial"/>
          <w:sz w:val="20"/>
          <w:szCs w:val="20"/>
        </w:rPr>
        <w:t>informações.”</w:t>
      </w:r>
      <w:proofErr w:type="gramEnd"/>
    </w:p>
    <w:p w:rsidR="005B2AEE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B2AEE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4403B7">
        <w:rPr>
          <w:rFonts w:ascii="Arial" w:hAnsi="Arial" w:cs="Arial"/>
          <w:sz w:val="20"/>
          <w:szCs w:val="20"/>
        </w:rPr>
        <w:t>8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243B3" w:rsidRPr="00A5088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87" w:rsidRDefault="00883987" w:rsidP="009243B3">
      <w:pPr>
        <w:spacing w:after="0" w:line="240" w:lineRule="auto"/>
      </w:pPr>
      <w:r>
        <w:separator/>
      </w:r>
    </w:p>
  </w:endnote>
  <w:endnote w:type="continuationSeparator" w:id="0">
    <w:p w:rsidR="00883987" w:rsidRDefault="008839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87" w:rsidRDefault="00883987" w:rsidP="009243B3">
      <w:pPr>
        <w:spacing w:after="0" w:line="240" w:lineRule="auto"/>
      </w:pPr>
      <w:r>
        <w:separator/>
      </w:r>
    </w:p>
  </w:footnote>
  <w:footnote w:type="continuationSeparator" w:id="0">
    <w:p w:rsidR="00883987" w:rsidRDefault="008839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87" w:rsidRDefault="008839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602352"/>
    <w:rsid w:val="00602FA3"/>
    <w:rsid w:val="00614CF6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62619"/>
    <w:rsid w:val="00883987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C082E34"/>
  <w15:docId w15:val="{7F4AA69F-880D-4B49-B8E0-E827B922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5513-9D45-4C13-8072-FD21110F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2019-04-16T19:26:00Z</dcterms:created>
  <dcterms:modified xsi:type="dcterms:W3CDTF">2019-04-24T11:58:00Z</dcterms:modified>
</cp:coreProperties>
</file>