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9548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95481D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481D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157F0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6D93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3º, acrescenta parágrafo único ao artigo 16 e revoga em todos os seus termos as disposições constantes dos artigos 13 e 17, todos da Lei nº 2.362/2000.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491C" w:rsidRDefault="009243B3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6D93">
        <w:rPr>
          <w:rFonts w:ascii="Arial" w:hAnsi="Arial" w:cs="Arial"/>
          <w:sz w:val="20"/>
          <w:szCs w:val="20"/>
        </w:rPr>
        <w:t>O artigo 3º, constante da Lei nº 2.362, de 12 de setembro de 2000, que institui o PCM – Programa Comunitário de Melhoramentos, passa a vigorar com a seguinte redação:</w:t>
      </w:r>
    </w:p>
    <w:p w:rsidR="00956D93" w:rsidRDefault="00956D93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D93" w:rsidRDefault="00E925C0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3º</w:t>
      </w:r>
      <w:r w:rsidR="00956D93">
        <w:rPr>
          <w:rFonts w:ascii="Arial" w:hAnsi="Arial" w:cs="Arial"/>
          <w:sz w:val="20"/>
          <w:szCs w:val="20"/>
        </w:rPr>
        <w:t xml:space="preserve"> Os melhoramentos somente serão passíveis de apreciação e exceção quando solicitados por no mínimo 70% (setenta por cento) dos moradores interessados e houver conveniência do </w:t>
      </w:r>
      <w:proofErr w:type="gramStart"/>
      <w:r w:rsidR="00956D93">
        <w:rPr>
          <w:rFonts w:ascii="Arial" w:hAnsi="Arial" w:cs="Arial"/>
          <w:sz w:val="20"/>
          <w:szCs w:val="20"/>
        </w:rPr>
        <w:t>Município.”</w:t>
      </w:r>
      <w:proofErr w:type="gramEnd"/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D8F" w:rsidRDefault="00363BCB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956D93">
        <w:rPr>
          <w:rFonts w:ascii="Arial" w:hAnsi="Arial" w:cs="Arial"/>
          <w:sz w:val="20"/>
          <w:szCs w:val="20"/>
        </w:rPr>
        <w:t>Fica revogado em todos seus termos as disposições dos artigos 13 e 17 da mesma Lei e acrescenta ao artigo 16 o seguinte parágrafo único:</w:t>
      </w:r>
    </w:p>
    <w:p w:rsidR="00956D93" w:rsidRDefault="00956D93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D93" w:rsidRDefault="00E925C0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16. (...)</w:t>
      </w:r>
    </w:p>
    <w:p w:rsidR="00E925C0" w:rsidRDefault="00E925C0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D93" w:rsidRDefault="00956D93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Para possibilitar a execução dos procedimentos administrativos desta Lei, as operações efetuadas dentro do PCM – Programa Comunitário de Melhoramentos, ficam vinculados ao convênio firmado entre a Nossa Caixa – Nosso Banco S/A e o Banespa – Banco do Estado de São Paulo S/A, publicado no Diário Oficial do Estado de São Paulo em 27 de abril de </w:t>
      </w:r>
      <w:proofErr w:type="gramStart"/>
      <w:r>
        <w:rPr>
          <w:rFonts w:ascii="Arial" w:hAnsi="Arial" w:cs="Arial"/>
          <w:sz w:val="20"/>
          <w:szCs w:val="20"/>
        </w:rPr>
        <w:t>1984.”</w:t>
      </w:r>
      <w:proofErr w:type="gramEnd"/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65491C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956D93">
        <w:rPr>
          <w:rFonts w:ascii="Arial" w:hAnsi="Arial" w:cs="Arial"/>
          <w:sz w:val="20"/>
          <w:szCs w:val="20"/>
        </w:rPr>
        <w:t>, revogadas as disposições em contrário</w:t>
      </w:r>
      <w:r w:rsidR="00903D8F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56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56D93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63BC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E925C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7F" w:rsidRDefault="0016377F" w:rsidP="009243B3">
      <w:pPr>
        <w:spacing w:after="0" w:line="240" w:lineRule="auto"/>
      </w:pPr>
      <w:r>
        <w:separator/>
      </w:r>
    </w:p>
  </w:endnote>
  <w:endnote w:type="continuationSeparator" w:id="0">
    <w:p w:rsidR="0016377F" w:rsidRDefault="001637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7F" w:rsidRDefault="0016377F" w:rsidP="009243B3">
      <w:pPr>
        <w:spacing w:after="0" w:line="240" w:lineRule="auto"/>
      </w:pPr>
      <w:r>
        <w:separator/>
      </w:r>
    </w:p>
  </w:footnote>
  <w:footnote w:type="continuationSeparator" w:id="0">
    <w:p w:rsidR="0016377F" w:rsidRDefault="001637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77F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25C0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7C765E81"/>
  <w15:docId w15:val="{741356B5-3EA1-4FBA-99F0-37083691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2019-04-16T18:27:00Z</dcterms:created>
  <dcterms:modified xsi:type="dcterms:W3CDTF">2019-04-24T13:31:00Z</dcterms:modified>
</cp:coreProperties>
</file>