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E7C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0837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0837" w:rsidP="001E7C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E7C96">
        <w:rPr>
          <w:rFonts w:ascii="Arial" w:hAnsi="Arial" w:cs="Arial"/>
          <w:sz w:val="20"/>
          <w:szCs w:val="20"/>
        </w:rPr>
        <w:t>o controle de propagação de ruído e nível de pressão sonora de quaisquer natureza em casas comerciais, industriais e instituições religiosas.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189E" w:rsidRDefault="009243B3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89E">
        <w:rPr>
          <w:rFonts w:ascii="Arial" w:hAnsi="Arial" w:cs="Arial"/>
          <w:sz w:val="20"/>
          <w:szCs w:val="20"/>
        </w:rPr>
        <w:t>A</w:t>
      </w:r>
      <w:r w:rsidR="001E7C96">
        <w:rPr>
          <w:rFonts w:ascii="Arial" w:hAnsi="Arial" w:cs="Arial"/>
          <w:sz w:val="20"/>
          <w:szCs w:val="20"/>
        </w:rPr>
        <w:t>s casas comerciais, industriais em geral e instituições religiosas estabelecidas no Município, deverão sofrer fiscalização periódica quanto ao nível de propagação de ruído e de pressão sonora de quaisquer espécies, até os limites fixados pela Norma Brasileira de Regulamentação 10.151 da ABNT – Associação Brasileira de Normas Técnicas.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medição dos níveis de ruído e de pressão sonora, será aferida através de “decibelímetro” devidamente calibrado em ambiente externo ao estabelecimento gerador do ruído ou do som.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 tomada de medição com o equipamento necessário para esse fim, deverá ser extraído do nível de ruído final, toda e qualquer vibração de ordem sonora.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caso de haver propagação de ruído ou emissão sonora, acima dos limites fixados pelo órgão regulamentador, o proprietário ou o responsável legal pelo uso do imóvel será notificado para dentro do prazo de 90 (noventa) dias, contados a partir da notificação, adotar as medidas cabíveis com vistas a sua adequação.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 havendo denúncia quanto a inobservância das normas contidas nesta Lei, será a mesma formalizada por terceiros, sendo o auto de infração lavrado com a identificação do denunciante, acompanhada de pelo menos três (3) testemunhas devidamente qualificadas.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descumprimento da notificação a que se refere o artigo 3º desta Lei, importará na aplicação de multa por irregularidade, da ordem de R$ 180,00 (cento e oitenta reais), e em caso de reincidência da irregularidade o valor será aplicado cumulativamente.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1E7C96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1E7C96" w:rsidP="001E7C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7C96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42068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17B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7B0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23F" w:rsidRDefault="001C223F" w:rsidP="009243B3">
      <w:pPr>
        <w:spacing w:after="0" w:line="240" w:lineRule="auto"/>
      </w:pPr>
      <w:r>
        <w:separator/>
      </w:r>
    </w:p>
  </w:endnote>
  <w:endnote w:type="continuationSeparator" w:id="1">
    <w:p w:rsidR="001C223F" w:rsidRDefault="001C22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23F" w:rsidRDefault="001C223F" w:rsidP="009243B3">
      <w:pPr>
        <w:spacing w:after="0" w:line="240" w:lineRule="auto"/>
      </w:pPr>
      <w:r>
        <w:separator/>
      </w:r>
    </w:p>
  </w:footnote>
  <w:footnote w:type="continuationSeparator" w:id="1">
    <w:p w:rsidR="001C223F" w:rsidRDefault="001C22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223F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2019-04-16T23:47:00Z</dcterms:created>
  <dcterms:modified xsi:type="dcterms:W3CDTF">2019-04-16T23:56:00Z</dcterms:modified>
</cp:coreProperties>
</file>