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75A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1E7C96">
        <w:rPr>
          <w:rFonts w:ascii="Arial" w:hAnsi="Arial" w:cs="Arial"/>
          <w:b/>
          <w:sz w:val="20"/>
          <w:szCs w:val="20"/>
        </w:rPr>
        <w:t>2</w:t>
      </w:r>
      <w:r w:rsidR="00A75AE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5AE3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00837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0837" w:rsidP="00A75A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839A9">
        <w:rPr>
          <w:rFonts w:ascii="Arial" w:hAnsi="Arial" w:cs="Arial"/>
          <w:sz w:val="20"/>
          <w:szCs w:val="20"/>
        </w:rPr>
        <w:t xml:space="preserve">a </w:t>
      </w:r>
      <w:r w:rsidR="003F0DCD">
        <w:rPr>
          <w:rFonts w:ascii="Arial" w:hAnsi="Arial" w:cs="Arial"/>
          <w:sz w:val="20"/>
          <w:szCs w:val="20"/>
        </w:rPr>
        <w:t xml:space="preserve">denominação de </w:t>
      </w:r>
      <w:r w:rsidR="00A75AE3">
        <w:rPr>
          <w:rFonts w:ascii="Arial" w:hAnsi="Arial" w:cs="Arial"/>
          <w:sz w:val="20"/>
          <w:szCs w:val="20"/>
        </w:rPr>
        <w:t>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189E" w:rsidRDefault="009243B3" w:rsidP="00A75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89E">
        <w:rPr>
          <w:rFonts w:ascii="Arial" w:hAnsi="Arial" w:cs="Arial"/>
          <w:sz w:val="20"/>
          <w:szCs w:val="20"/>
        </w:rPr>
        <w:t>A</w:t>
      </w:r>
      <w:r w:rsidR="00B839A9">
        <w:rPr>
          <w:rFonts w:ascii="Arial" w:hAnsi="Arial" w:cs="Arial"/>
          <w:sz w:val="20"/>
          <w:szCs w:val="20"/>
        </w:rPr>
        <w:t xml:space="preserve"> </w:t>
      </w:r>
      <w:r w:rsidR="003F0DCD">
        <w:rPr>
          <w:rFonts w:ascii="Arial" w:hAnsi="Arial" w:cs="Arial"/>
          <w:sz w:val="20"/>
          <w:szCs w:val="20"/>
        </w:rPr>
        <w:t xml:space="preserve">atual </w:t>
      </w:r>
      <w:r w:rsidR="00A75AE3">
        <w:rPr>
          <w:rFonts w:ascii="Arial" w:hAnsi="Arial" w:cs="Arial"/>
          <w:sz w:val="20"/>
          <w:szCs w:val="20"/>
        </w:rPr>
        <w:t>via pública existente no interior do loteamento constante da gleba “C”, da Vila das Nações, que se inicia na Rua Raymundo Magrini e termina nos limites do referido empreendimento passa a denominar-se “Rua da Castanheira”.</w:t>
      </w:r>
    </w:p>
    <w:p w:rsidR="008F19BB" w:rsidRDefault="008F19BB" w:rsidP="008F1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8F19BB" w:rsidP="003F0D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1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7517FB">
        <w:rPr>
          <w:rFonts w:ascii="Arial" w:hAnsi="Arial" w:cs="Arial"/>
          <w:sz w:val="20"/>
          <w:szCs w:val="20"/>
        </w:rPr>
        <w:t>, revogadas as disposições em contrário</w:t>
      </w:r>
      <w:r w:rsidR="00195B15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75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75AE3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17B0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38E" w:rsidRDefault="00FD638E" w:rsidP="009243B3">
      <w:pPr>
        <w:spacing w:after="0" w:line="240" w:lineRule="auto"/>
      </w:pPr>
      <w:r>
        <w:separator/>
      </w:r>
    </w:p>
  </w:endnote>
  <w:endnote w:type="continuationSeparator" w:id="1">
    <w:p w:rsidR="00FD638E" w:rsidRDefault="00FD63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38E" w:rsidRDefault="00FD638E" w:rsidP="009243B3">
      <w:pPr>
        <w:spacing w:after="0" w:line="240" w:lineRule="auto"/>
      </w:pPr>
      <w:r>
        <w:separator/>
      </w:r>
    </w:p>
  </w:footnote>
  <w:footnote w:type="continuationSeparator" w:id="1">
    <w:p w:rsidR="00FD638E" w:rsidRDefault="00FD63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38E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2019-04-17T00:31:00Z</dcterms:created>
  <dcterms:modified xsi:type="dcterms:W3CDTF">2019-04-17T00:33:00Z</dcterms:modified>
</cp:coreProperties>
</file>