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2A76A0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</w:t>
      </w:r>
      <w:r w:rsidR="000360E0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2A76A0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Dá nova redação aos incisos I, I</w:t>
      </w:r>
      <w:r>
        <w:rPr>
          <w:rFonts w:ascii="Arial" w:hAnsi="Arial" w:cs="Arial"/>
          <w:sz w:val="20"/>
          <w:szCs w:val="20"/>
        </w:rPr>
        <w:t>I e III, constantes do artigo 4º</w:t>
      </w:r>
      <w:r w:rsidRPr="002A76A0">
        <w:rPr>
          <w:rFonts w:ascii="Arial" w:hAnsi="Arial" w:cs="Arial"/>
          <w:sz w:val="20"/>
          <w:szCs w:val="20"/>
        </w:rPr>
        <w:t>, da Lei n° 2350/99, e introduz modificações na Tabela I da mesma Lei</w:t>
      </w:r>
      <w:r w:rsidR="006B67DA"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6A0" w:rsidRDefault="009E46C8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2A76A0" w:rsidRPr="002A76A0">
        <w:rPr>
          <w:rFonts w:ascii="Arial" w:hAnsi="Arial" w:cs="Arial"/>
          <w:sz w:val="20"/>
          <w:szCs w:val="20"/>
        </w:rPr>
        <w:t>Os incisos I, II e III, constantes do artigo</w:t>
      </w:r>
      <w:r w:rsidR="002A76A0">
        <w:rPr>
          <w:rFonts w:ascii="Arial" w:hAnsi="Arial" w:cs="Arial"/>
          <w:sz w:val="20"/>
          <w:szCs w:val="20"/>
        </w:rPr>
        <w:t xml:space="preserve"> </w:t>
      </w:r>
      <w:r w:rsidR="002A76A0" w:rsidRPr="002A76A0">
        <w:rPr>
          <w:rFonts w:ascii="Arial" w:hAnsi="Arial" w:cs="Arial"/>
          <w:sz w:val="20"/>
          <w:szCs w:val="20"/>
        </w:rPr>
        <w:t>4°, da Lei n° 2</w:t>
      </w:r>
      <w:r w:rsidR="002A76A0">
        <w:rPr>
          <w:rFonts w:ascii="Arial" w:hAnsi="Arial" w:cs="Arial"/>
          <w:sz w:val="20"/>
          <w:szCs w:val="20"/>
        </w:rPr>
        <w:t>.</w:t>
      </w:r>
      <w:r w:rsidR="002A76A0" w:rsidRPr="002A76A0">
        <w:rPr>
          <w:rFonts w:ascii="Arial" w:hAnsi="Arial" w:cs="Arial"/>
          <w:sz w:val="20"/>
          <w:szCs w:val="20"/>
        </w:rPr>
        <w:t>350, de 31 de dezembro de 1999, que institui a taxa do serviço de vigilância e dá outras providências passa a vigorar com as seguintes redações</w:t>
      </w:r>
      <w:r w:rsidR="002A76A0">
        <w:rPr>
          <w:rFonts w:ascii="Arial" w:hAnsi="Arial" w:cs="Arial"/>
          <w:sz w:val="20"/>
          <w:szCs w:val="20"/>
        </w:rPr>
        <w:t>:</w:t>
      </w:r>
    </w:p>
    <w:p w:rsid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6A0" w:rsidRPr="002A76A0" w:rsidRDefault="0022084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2A76A0" w:rsidRPr="002A76A0">
        <w:rPr>
          <w:rFonts w:ascii="Arial" w:hAnsi="Arial" w:cs="Arial"/>
          <w:sz w:val="20"/>
          <w:szCs w:val="20"/>
        </w:rPr>
        <w:t>I</w:t>
      </w:r>
      <w:r w:rsidR="002A76A0">
        <w:rPr>
          <w:rFonts w:ascii="Arial" w:hAnsi="Arial" w:cs="Arial"/>
          <w:sz w:val="20"/>
          <w:szCs w:val="20"/>
        </w:rPr>
        <w:t xml:space="preserve"> </w:t>
      </w:r>
      <w:r w:rsidR="002A76A0" w:rsidRPr="002A76A0">
        <w:rPr>
          <w:rFonts w:ascii="Arial" w:hAnsi="Arial" w:cs="Arial"/>
          <w:sz w:val="20"/>
          <w:szCs w:val="20"/>
        </w:rPr>
        <w:t xml:space="preserve">- </w:t>
      </w:r>
      <w:r w:rsidR="002A76A0" w:rsidRPr="002A76A0">
        <w:rPr>
          <w:rFonts w:ascii="Arial" w:hAnsi="Arial" w:cs="Arial"/>
          <w:sz w:val="20"/>
          <w:szCs w:val="20"/>
        </w:rPr>
        <w:t>Infrações</w:t>
      </w:r>
      <w:r w:rsidR="002A76A0" w:rsidRPr="002A76A0">
        <w:rPr>
          <w:rFonts w:ascii="Arial" w:hAnsi="Arial" w:cs="Arial"/>
          <w:sz w:val="20"/>
          <w:szCs w:val="20"/>
        </w:rPr>
        <w:t xml:space="preserve"> relativas aos document</w:t>
      </w:r>
      <w:r w:rsidR="002A76A0">
        <w:rPr>
          <w:rFonts w:ascii="Arial" w:hAnsi="Arial" w:cs="Arial"/>
          <w:sz w:val="20"/>
          <w:szCs w:val="20"/>
        </w:rPr>
        <w:t xml:space="preserve">os de recolhimento do tributo: </w:t>
      </w:r>
      <w:r w:rsidR="002A76A0" w:rsidRPr="002A76A0">
        <w:rPr>
          <w:rFonts w:ascii="Arial" w:hAnsi="Arial" w:cs="Arial"/>
          <w:sz w:val="20"/>
          <w:szCs w:val="20"/>
        </w:rPr>
        <w:t>multa de 05 (cinco) vezes ao da taxa devida, nunca inferior a R$ 50,00 (</w:t>
      </w:r>
      <w:r w:rsidR="002A76A0" w:rsidRPr="002A76A0">
        <w:rPr>
          <w:rFonts w:ascii="Arial" w:hAnsi="Arial" w:cs="Arial"/>
          <w:sz w:val="20"/>
          <w:szCs w:val="20"/>
        </w:rPr>
        <w:t>cinquenta</w:t>
      </w:r>
      <w:r w:rsidR="002A76A0" w:rsidRPr="002A76A0">
        <w:rPr>
          <w:rFonts w:ascii="Arial" w:hAnsi="Arial" w:cs="Arial"/>
          <w:sz w:val="20"/>
          <w:szCs w:val="20"/>
        </w:rPr>
        <w:t xml:space="preserve"> reais), por documentos, aos que adulterarem ou falsificarem documentos de recolhimento do tributo e/ou autenticação mecânica, ou ainda de qualquer forma, contribuírem para a prática</w:t>
      </w:r>
      <w:r w:rsidR="002A76A0">
        <w:rPr>
          <w:rFonts w:ascii="Arial" w:hAnsi="Arial" w:cs="Arial"/>
          <w:sz w:val="20"/>
          <w:szCs w:val="20"/>
        </w:rPr>
        <w:t xml:space="preserve"> da adulteração ou falsificação;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 xml:space="preserve">- </w:t>
      </w:r>
      <w:r w:rsidRPr="002A76A0">
        <w:rPr>
          <w:rFonts w:ascii="Arial" w:hAnsi="Arial" w:cs="Arial"/>
          <w:sz w:val="20"/>
          <w:szCs w:val="20"/>
        </w:rPr>
        <w:t>Infrações</w:t>
      </w:r>
      <w:r w:rsidRPr="002A76A0">
        <w:rPr>
          <w:rFonts w:ascii="Arial" w:hAnsi="Arial" w:cs="Arial"/>
          <w:sz w:val="20"/>
          <w:szCs w:val="20"/>
        </w:rPr>
        <w:t xml:space="preserve"> para as quais não haja penalidade específica prevista nesta Lei,</w:t>
      </w:r>
      <w:r>
        <w:rPr>
          <w:rFonts w:ascii="Arial" w:hAnsi="Arial" w:cs="Arial"/>
          <w:sz w:val="20"/>
          <w:szCs w:val="20"/>
        </w:rPr>
        <w:t xml:space="preserve"> multa de R$ 100,00 (cem reais);</w:t>
      </w:r>
    </w:p>
    <w:p w:rsid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>- Ficam as infrações abaixo, sujeitas às seguintes multas: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>LEVE: de R$ 50,00 (</w:t>
      </w:r>
      <w:r w:rsidRPr="002A76A0">
        <w:rPr>
          <w:rFonts w:ascii="Arial" w:hAnsi="Arial" w:cs="Arial"/>
          <w:sz w:val="20"/>
          <w:szCs w:val="20"/>
        </w:rPr>
        <w:t>cinquenta</w:t>
      </w:r>
      <w:r w:rsidRPr="002A76A0">
        <w:rPr>
          <w:rFonts w:ascii="Arial" w:hAnsi="Arial" w:cs="Arial"/>
          <w:sz w:val="20"/>
          <w:szCs w:val="20"/>
        </w:rPr>
        <w:t xml:space="preserve"> reais) à R$ 500,00 (quinhentos reais);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>GRAVE: de R$ 500,01 (quinhentos reais e um centavo) à R$ 1.000,00 (mil reais);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>GRAVÍSSIMA: de R$ 1.000,01 (mil reais e um centavo) à R$ 3.000,00 (três mil reais);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2A76A0">
        <w:rPr>
          <w:rFonts w:ascii="Arial" w:hAnsi="Arial" w:cs="Arial"/>
          <w:sz w:val="20"/>
          <w:szCs w:val="20"/>
        </w:rPr>
        <w:t>na</w:t>
      </w:r>
      <w:r w:rsidRPr="002A76A0">
        <w:rPr>
          <w:rFonts w:ascii="Arial" w:hAnsi="Arial" w:cs="Arial"/>
          <w:sz w:val="20"/>
          <w:szCs w:val="20"/>
        </w:rPr>
        <w:t xml:space="preserve"> reincidência, a aplicação da multa será em </w:t>
      </w:r>
      <w:proofErr w:type="gramStart"/>
      <w:r w:rsidRPr="002A76A0">
        <w:rPr>
          <w:rFonts w:ascii="Arial" w:hAnsi="Arial" w:cs="Arial"/>
          <w:sz w:val="20"/>
          <w:szCs w:val="20"/>
        </w:rPr>
        <w:t>dobro.</w:t>
      </w:r>
      <w:r w:rsidR="00220846">
        <w:rPr>
          <w:rFonts w:ascii="Arial" w:hAnsi="Arial" w:cs="Arial"/>
          <w:sz w:val="20"/>
          <w:szCs w:val="20"/>
        </w:rPr>
        <w:t>”</w:t>
      </w:r>
      <w:proofErr w:type="gramEnd"/>
      <w:r w:rsidRPr="002A76A0">
        <w:rPr>
          <w:rFonts w:ascii="Arial" w:hAnsi="Arial" w:cs="Arial"/>
          <w:sz w:val="20"/>
          <w:szCs w:val="20"/>
        </w:rPr>
        <w:t> </w:t>
      </w:r>
    </w:p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6A0" w:rsidRDefault="0022084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A tabela I, constante da mesma Lei, passa </w:t>
      </w:r>
      <w:r w:rsidR="002A76A0" w:rsidRPr="002A76A0">
        <w:rPr>
          <w:rFonts w:ascii="Arial" w:hAnsi="Arial" w:cs="Arial"/>
          <w:sz w:val="20"/>
          <w:szCs w:val="20"/>
        </w:rPr>
        <w:t>a vigorar com a seguinte redação</w:t>
      </w:r>
      <w:r>
        <w:rPr>
          <w:rFonts w:ascii="Arial" w:hAnsi="Arial" w:cs="Arial"/>
          <w:sz w:val="20"/>
          <w:szCs w:val="20"/>
        </w:rPr>
        <w:t>:</w:t>
      </w:r>
    </w:p>
    <w:p w:rsidR="00220846" w:rsidRPr="002A76A0" w:rsidRDefault="0022084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6A0" w:rsidRPr="002A76A0" w:rsidRDefault="0022084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2A76A0" w:rsidRPr="002A76A0">
        <w:rPr>
          <w:rFonts w:ascii="Arial" w:hAnsi="Arial" w:cs="Arial"/>
          <w:sz w:val="20"/>
          <w:szCs w:val="20"/>
        </w:rPr>
        <w:t>TABELA I</w:t>
      </w:r>
    </w:p>
    <w:p w:rsidR="00220846" w:rsidRDefault="0022084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208"/>
        <w:gridCol w:w="986"/>
      </w:tblGrid>
      <w:tr w:rsidR="00A54006" w:rsidRPr="00A54006" w:rsidTr="00A54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0846" w:rsidRPr="00A54006" w:rsidRDefault="00220846" w:rsidP="00A54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00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0846" w:rsidRPr="00A54006" w:rsidRDefault="00220846" w:rsidP="00A54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00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0846" w:rsidRPr="00A54006" w:rsidRDefault="00220846" w:rsidP="00A54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00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Indústrias de alimentos, aditivos, embalagens, gelo, tintas e </w:t>
            </w:r>
            <w:r w:rsidR="00A54006">
              <w:rPr>
                <w:rFonts w:ascii="Arial" w:hAnsi="Arial" w:cs="Arial"/>
                <w:sz w:val="20"/>
                <w:szCs w:val="20"/>
              </w:rPr>
              <w:t>vernizes para fins alimentícios</w:t>
            </w:r>
            <w:bookmarkStart w:id="0" w:name="_GoBack"/>
            <w:bookmarkEnd w:id="0"/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Envasadoras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 xml:space="preserve"> de água mineral e potável de mesa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Cozinhas Industriais, empacotadoras de alimentos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Indústrias de drogas, medicamentos, insumos farmacêuticos, correlatos, cosméticos, produtos de higiene e perfumes saneantes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Supermercados e congêneres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Prestadores de serviços de esterilização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Distribuidores ou depósitos de alimentos, bebidas e águas minerais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Restaurantes, churrascarias e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rotisseries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>, pizzarias, padarias, confeitarias e similares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Sorveterias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Distribuidora com fracionamento de drogas, medicamentos, insumos farmacêuticos, correlatos, cosméticos, produtos de higiene e perfumes saneantes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domissanitários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 xml:space="preserve"> e aplicadoras de produtos saneantes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Açougues, avícolas, peixarias, lanchonetes, quiosques, trailers e pastelarias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Mercearias e congêneres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Comércio de laticínios e embutidos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Dispensários, postos de medicamentos e ervanárias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Distribuidoras sem fracionamento de drogas, medicamentos, insumos farmacêuticos, correlatos, cosméticos, produtos de higiene e perfumes, saneamento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domissanitários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>, casas de artigos cirúrgicos e dentários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Depósitos fechados de drogas, medicamentos, insumos farmacêuticos, correlatos, cosméticos, perfumes, produtos de higiene, saneamentos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Farmácias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Drogarias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Comércio de bebidas, ovos, frutaria, verduras, legumes, quitanda ou bar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Vistorias em veículos automotores para transporte de alimentos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NOTA: QUANDO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ESTABELECIMENTO EXERCER MAIS DE UMA ATIVIDADE, SERÁ ENQUADRADO NO ITEM QUE A TAXA FOR DE MAIOR VALOR.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SERVIÇOS DE SAÚDE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 de assistência médico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846">
              <w:rPr>
                <w:rFonts w:ascii="Arial" w:hAnsi="Arial" w:cs="Arial"/>
                <w:sz w:val="20"/>
                <w:szCs w:val="20"/>
              </w:rPr>
              <w:t>hospitalar: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até 50 (cinquenta) leitos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51 (cinquenta e um) até 250 (duzentos e cinquenta) leitos</w:t>
            </w:r>
          </w:p>
          <w:p w:rsidR="00220846" w:rsidRPr="00220846" w:rsidRDefault="00220846" w:rsidP="00220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mais de 250 (duzentos e cinquenta) leitos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220,00</w:t>
            </w: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385,00</w:t>
            </w:r>
          </w:p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20846" w:rsidRPr="00220846" w:rsidRDefault="00220846" w:rsidP="00220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 de assistência médico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846">
              <w:rPr>
                <w:rFonts w:ascii="Arial" w:hAnsi="Arial" w:cs="Arial"/>
                <w:sz w:val="20"/>
                <w:szCs w:val="20"/>
              </w:rPr>
              <w:t>ambulatorial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165,00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 de assistência médica de urgência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Serviços ou institutos de hemoterapia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Banco de sangue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Agências de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transfusionais</w:t>
            </w:r>
            <w:proofErr w:type="spellEnd"/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Postos de coleta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Unidades nefrológicas (hemodiálise, diálise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peritonial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 xml:space="preserve"> ambulatorial contínua, diálise intermitente e congêneres)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Institutos ou clínicas de fisioterapia e de ortopedia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Institutos de beleza: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Com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responsabilidade médica</w:t>
            </w:r>
          </w:p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pedicures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podólogos</w:t>
            </w:r>
            <w:proofErr w:type="spellEnd"/>
          </w:p>
        </w:tc>
        <w:tc>
          <w:tcPr>
            <w:tcW w:w="0" w:type="auto"/>
          </w:tcPr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Institutos de massagem e tatuagem, ótica e laboratório de ótica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220846" w:rsidRPr="00220846" w:rsidRDefault="00220846" w:rsidP="00220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Laboratórios de análises clínicas, patologia clínica, hematologia clínica, anatomia patológica, citologia, líquido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céfalo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846">
              <w:rPr>
                <w:rFonts w:ascii="Arial" w:hAnsi="Arial" w:cs="Arial"/>
                <w:sz w:val="20"/>
                <w:szCs w:val="20"/>
              </w:rPr>
              <w:t>raquidiano e congêneres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Postos de coleta de laboratórios de análises clínicas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Banco de olhos, órgãos, leite e outras secreções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Estabelecimentos que se destinam a prática de esportes, com responsabilidade médica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 que se destinam ao transporte de pacientes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220846" w:rsidRPr="00220846" w:rsidRDefault="00220846" w:rsidP="002208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Clínica médico veterinária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Consultório odontológico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Demais estabelecimentos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Laboratórios ou oficina de prótese dentária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Estabelecimentos que utilizam radiação ionizante, inclusive os consultórios dentários, referente medicina nuclear IN VIVO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Estabelecimentos que utilizam radiação ionizante, inclusive os consultórios dentários, referente medicina nuclear IN VITRO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Equipamentos de radiologia médica e odontológica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Equipamentos de radioterapia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Conjunto de fontes de radioterapia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Vistoria de veículos para transporte de atendimento de doentes: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Terrestre</w:t>
            </w:r>
          </w:p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0" w:type="auto"/>
          </w:tcPr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50,00</w:t>
            </w:r>
          </w:p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Casas de repouso e casas de idosos, com responsabilidade médica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Casas de repouso e casas de idosos, sem responsabilidade médica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Hotéis, pensões, hospedarias, casas de cômodos ou semelhantes: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220846">
              <w:rPr>
                <w:rFonts w:ascii="Arial" w:hAnsi="Arial" w:cs="Arial"/>
                <w:sz w:val="20"/>
                <w:szCs w:val="20"/>
              </w:rPr>
              <w:t>até 5 quartos</w:t>
            </w:r>
            <w:proofErr w:type="gramEnd"/>
            <w:r w:rsidRPr="00220846">
              <w:rPr>
                <w:rFonts w:ascii="Arial" w:hAnsi="Arial" w:cs="Arial"/>
                <w:sz w:val="20"/>
                <w:szCs w:val="20"/>
              </w:rPr>
              <w:t xml:space="preserve"> ou apartamentos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6 até 10 quartos ou apartamentos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11 até 25 quartos ou apartamentos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26 até 50 quartos ou apartamentos</w:t>
            </w:r>
          </w:p>
          <w:p w:rsid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51 até 100 quartos ou apartamentos</w:t>
            </w:r>
          </w:p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 mais de 100 quartos ou apartamentos</w:t>
            </w:r>
          </w:p>
        </w:tc>
        <w:tc>
          <w:tcPr>
            <w:tcW w:w="0" w:type="auto"/>
          </w:tcPr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50,00</w:t>
            </w: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150,00</w:t>
            </w: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200,00</w:t>
            </w:r>
          </w:p>
          <w:p w:rsid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250,00</w:t>
            </w:r>
          </w:p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385,00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220846" w:rsidRPr="00220846" w:rsidRDefault="0022084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Demais estabelecimentos não especificados, sujeitos a fiscalização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084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NOTA: A SEGUNDA VIA DO ALVARÁ CORRESPONDERÁ A 1/3 DO VALOR ESPECIFICADO</w:t>
            </w:r>
          </w:p>
        </w:tc>
        <w:tc>
          <w:tcPr>
            <w:tcW w:w="0" w:type="auto"/>
          </w:tcPr>
          <w:p w:rsidR="00220846" w:rsidRPr="00220846" w:rsidRDefault="0022084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Rubricas de livros:</w:t>
            </w:r>
          </w:p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220846">
              <w:rPr>
                <w:rFonts w:ascii="Arial" w:hAnsi="Arial" w:cs="Arial"/>
                <w:sz w:val="20"/>
                <w:szCs w:val="20"/>
              </w:rPr>
              <w:t>até 100 folhas</w:t>
            </w:r>
            <w:proofErr w:type="gramEnd"/>
          </w:p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De</w:t>
            </w:r>
            <w:r w:rsidRPr="00220846">
              <w:rPr>
                <w:rFonts w:ascii="Arial" w:hAnsi="Arial" w:cs="Arial"/>
                <w:sz w:val="20"/>
                <w:szCs w:val="20"/>
              </w:rPr>
              <w:t xml:space="preserve"> 101 a 200 folhas</w:t>
            </w:r>
          </w:p>
          <w:p w:rsidR="00A5400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acima de 200 folhas</w:t>
            </w:r>
          </w:p>
        </w:tc>
        <w:tc>
          <w:tcPr>
            <w:tcW w:w="0" w:type="auto"/>
          </w:tcPr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12,00</w:t>
            </w: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18,00</w:t>
            </w:r>
          </w:p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A5400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22084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20846">
              <w:rPr>
                <w:rFonts w:ascii="Arial" w:hAnsi="Arial" w:cs="Arial"/>
                <w:sz w:val="20"/>
                <w:szCs w:val="20"/>
              </w:rPr>
              <w:t>ermo de responsabilidade técnica</w:t>
            </w:r>
          </w:p>
        </w:tc>
        <w:tc>
          <w:tcPr>
            <w:tcW w:w="0" w:type="auto"/>
          </w:tcPr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Vistos em notas fiscais de produtos sujeitos ao controle especial:</w:t>
            </w:r>
          </w:p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220846">
              <w:rPr>
                <w:rFonts w:ascii="Arial" w:hAnsi="Arial" w:cs="Arial"/>
                <w:sz w:val="20"/>
                <w:szCs w:val="20"/>
              </w:rPr>
              <w:t>até cinco notas</w:t>
            </w:r>
            <w:proofErr w:type="gramEnd"/>
          </w:p>
          <w:p w:rsidR="00A5400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por nota acrescer</w:t>
            </w:r>
          </w:p>
        </w:tc>
        <w:tc>
          <w:tcPr>
            <w:tcW w:w="0" w:type="auto"/>
          </w:tcPr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10,00</w:t>
            </w:r>
          </w:p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22084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Cadastramento dos estabelecimentos que utilizam produtos de controle especial, bem como os de insumos químicos</w:t>
            </w:r>
            <w:r w:rsidRPr="002208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22084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Taxa de </w:t>
            </w:r>
            <w:proofErr w:type="spellStart"/>
            <w:r w:rsidRPr="00220846">
              <w:rPr>
                <w:rFonts w:ascii="Arial" w:hAnsi="Arial" w:cs="Arial"/>
                <w:sz w:val="20"/>
                <w:szCs w:val="20"/>
              </w:rPr>
              <w:t>apostilamento</w:t>
            </w:r>
            <w:proofErr w:type="spellEnd"/>
            <w:r w:rsidRPr="00220846">
              <w:rPr>
                <w:rFonts w:ascii="Arial" w:hAnsi="Arial" w:cs="Arial"/>
                <w:sz w:val="20"/>
                <w:szCs w:val="20"/>
              </w:rPr>
              <w:t>, mediante apostila, decorrente de alteração do estado civil, de nome, etc.; efetuada a pedido do interessado em alvarás, diplomas e certificados, por documento</w:t>
            </w:r>
          </w:p>
        </w:tc>
        <w:tc>
          <w:tcPr>
            <w:tcW w:w="0" w:type="auto"/>
          </w:tcPr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Taxas de cópias de documentos diversos: </w:t>
            </w:r>
          </w:p>
          <w:p w:rsid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Reprodução datilografada na forma verbo ad verbum</w:t>
            </w:r>
          </w:p>
          <w:p w:rsidR="00A54006" w:rsidRPr="00A54006" w:rsidRDefault="00A54006" w:rsidP="00A5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00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006">
              <w:rPr>
                <w:rFonts w:ascii="Arial" w:hAnsi="Arial" w:cs="Arial"/>
                <w:sz w:val="20"/>
                <w:szCs w:val="20"/>
              </w:rPr>
              <w:t>pela primeira página</w:t>
            </w:r>
          </w:p>
          <w:p w:rsidR="00A5400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846">
              <w:rPr>
                <w:rFonts w:ascii="Arial" w:hAnsi="Arial" w:cs="Arial"/>
                <w:sz w:val="20"/>
                <w:szCs w:val="20"/>
              </w:rPr>
              <w:t>por página que carecer</w:t>
            </w:r>
          </w:p>
        </w:tc>
        <w:tc>
          <w:tcPr>
            <w:tcW w:w="0" w:type="auto"/>
          </w:tcPr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Segunda via em cópia reprográfica ou similar, inclusive fotografias:</w:t>
            </w:r>
          </w:p>
          <w:p w:rsidR="00A54006" w:rsidRPr="00A54006" w:rsidRDefault="00A54006" w:rsidP="00A540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00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006">
              <w:rPr>
                <w:rFonts w:ascii="Arial" w:hAnsi="Arial" w:cs="Arial"/>
                <w:sz w:val="20"/>
                <w:szCs w:val="20"/>
              </w:rPr>
              <w:t>pela primeira página</w:t>
            </w:r>
          </w:p>
          <w:p w:rsidR="00A54006" w:rsidRPr="00A54006" w:rsidRDefault="00A54006" w:rsidP="00A54006"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220846">
              <w:rPr>
                <w:rFonts w:ascii="Arial" w:hAnsi="Arial" w:cs="Arial"/>
                <w:sz w:val="20"/>
                <w:szCs w:val="20"/>
              </w:rPr>
              <w:t>por página que carecer</w:t>
            </w:r>
          </w:p>
        </w:tc>
        <w:tc>
          <w:tcPr>
            <w:tcW w:w="0" w:type="auto"/>
          </w:tcPr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10,00</w:t>
            </w:r>
          </w:p>
          <w:p w:rsidR="0022084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A54006" w:rsidRPr="00220846" w:rsidTr="00220846">
        <w:trPr>
          <w:jc w:val="center"/>
        </w:trPr>
        <w:tc>
          <w:tcPr>
            <w:tcW w:w="0" w:type="auto"/>
          </w:tcPr>
          <w:p w:rsidR="00220846" w:rsidRPr="00220846" w:rsidRDefault="00220846" w:rsidP="00A54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>Ilustrações:</w:t>
            </w:r>
          </w:p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846">
              <w:rPr>
                <w:rFonts w:ascii="Arial" w:hAnsi="Arial" w:cs="Arial"/>
                <w:sz w:val="20"/>
                <w:szCs w:val="20"/>
              </w:rPr>
              <w:t xml:space="preserve">Por fotografia (9 </w:t>
            </w:r>
            <w:proofErr w:type="gramStart"/>
            <w:r w:rsidRPr="0022084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  <w:r w:rsidRPr="00220846"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  <w:p w:rsidR="00A5400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Original</w:t>
            </w:r>
          </w:p>
          <w:p w:rsidR="00A54006" w:rsidRPr="00220846" w:rsidRDefault="00A54006" w:rsidP="00950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0846">
              <w:rPr>
                <w:rFonts w:ascii="Arial" w:hAnsi="Arial" w:cs="Arial"/>
                <w:sz w:val="20"/>
                <w:szCs w:val="20"/>
              </w:rPr>
              <w:t>cópia reprográfica ou similar</w:t>
            </w:r>
          </w:p>
        </w:tc>
        <w:tc>
          <w:tcPr>
            <w:tcW w:w="0" w:type="auto"/>
          </w:tcPr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5400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  <w:p w:rsidR="00A54006" w:rsidRPr="00220846" w:rsidRDefault="00A54006" w:rsidP="00A540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:rsidR="002A76A0" w:rsidRPr="002A76A0" w:rsidRDefault="002A76A0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6A0">
        <w:rPr>
          <w:rFonts w:ascii="Arial" w:hAnsi="Arial" w:cs="Arial"/>
          <w:sz w:val="20"/>
          <w:szCs w:val="20"/>
        </w:rPr>
        <w:t xml:space="preserve"> </w:t>
      </w:r>
    </w:p>
    <w:p w:rsidR="002A76A0" w:rsidRPr="002A76A0" w:rsidRDefault="00A54006" w:rsidP="002A7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006">
        <w:rPr>
          <w:rFonts w:ascii="Arial" w:hAnsi="Arial" w:cs="Arial"/>
          <w:b/>
          <w:sz w:val="20"/>
          <w:szCs w:val="20"/>
        </w:rPr>
        <w:t>Art. 2º</w:t>
      </w:r>
      <w:r w:rsidR="002A76A0" w:rsidRPr="002A76A0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006" w:rsidRDefault="00A54006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360E0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76E6D2D"/>
    <w:multiLevelType w:val="hybridMultilevel"/>
    <w:tmpl w:val="35C8C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4DBA10C7"/>
    <w:multiLevelType w:val="hybridMultilevel"/>
    <w:tmpl w:val="7598C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D632F9C"/>
    <w:multiLevelType w:val="hybridMultilevel"/>
    <w:tmpl w:val="CC86C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5AAB"/>
    <w:rsid w:val="000360E0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0846"/>
    <w:rsid w:val="0022488B"/>
    <w:rsid w:val="00254551"/>
    <w:rsid w:val="00254A78"/>
    <w:rsid w:val="00272EC0"/>
    <w:rsid w:val="002731B8"/>
    <w:rsid w:val="00282C01"/>
    <w:rsid w:val="00285F07"/>
    <w:rsid w:val="002A76A0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5400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4BD8"/>
    <w:rsid w:val="00DB611E"/>
    <w:rsid w:val="00DC123A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700618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484A-567D-40EF-BB37-C136409C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1173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2019-04-29T12:48:00Z</dcterms:created>
  <dcterms:modified xsi:type="dcterms:W3CDTF">2019-04-29T13:15:00Z</dcterms:modified>
</cp:coreProperties>
</file>