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EF022E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022E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EF022E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sz w:val="20"/>
          <w:szCs w:val="20"/>
        </w:rPr>
        <w:t>Institui a contribuição para o custeio do serviço de iluminação pública</w:t>
      </w:r>
      <w:r w:rsidR="006B67DA"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9E46C8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EF022E" w:rsidRPr="00EF022E">
        <w:rPr>
          <w:rFonts w:ascii="Arial" w:hAnsi="Arial" w:cs="Arial"/>
          <w:sz w:val="20"/>
          <w:szCs w:val="20"/>
        </w:rPr>
        <w:t>Fica instituída a contribuição para custeio do serviço de iluminação pública a ser cobrada de todos os beneficiários do serviço, nos termos da Emenda Constitucional n° 39, de 19 de dezembro de 2002.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</w:t>
      </w:r>
      <w:r w:rsidRPr="00EF022E">
        <w:rPr>
          <w:rFonts w:ascii="Arial" w:hAnsi="Arial" w:cs="Arial"/>
          <w:b/>
          <w:sz w:val="20"/>
          <w:szCs w:val="20"/>
        </w:rPr>
        <w:t>2</w:t>
      </w:r>
      <w:r w:rsidRPr="00EF022E">
        <w:rPr>
          <w:rFonts w:ascii="Arial" w:hAnsi="Arial" w:cs="Arial"/>
          <w:b/>
          <w:sz w:val="20"/>
          <w:szCs w:val="20"/>
        </w:rPr>
        <w:t>º</w:t>
      </w:r>
      <w:r w:rsidRPr="00EF022E">
        <w:rPr>
          <w:rFonts w:ascii="Arial" w:hAnsi="Arial" w:cs="Arial"/>
          <w:sz w:val="20"/>
          <w:szCs w:val="20"/>
        </w:rPr>
        <w:t xml:space="preserve"> Os contribuintes da contribuição são os proprietários, os detentores do domínio útil e os possuidores a qualquer título, de quaisquer imóveis situados em área atingida pelos serviços de iluminação pública.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Parágrafo único.</w:t>
      </w:r>
      <w:r w:rsidRPr="00EF022E">
        <w:rPr>
          <w:rFonts w:ascii="Arial" w:hAnsi="Arial" w:cs="Arial"/>
          <w:sz w:val="20"/>
          <w:szCs w:val="20"/>
        </w:rPr>
        <w:t xml:space="preserve"> No caso de ser lançada a contribuição juntamente com outra cobrança, obrigatoriamente deverão constar os seus elementos indicativos.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3º</w:t>
      </w:r>
      <w:r w:rsidRPr="00EF022E">
        <w:rPr>
          <w:rFonts w:ascii="Arial" w:hAnsi="Arial" w:cs="Arial"/>
          <w:sz w:val="20"/>
          <w:szCs w:val="20"/>
        </w:rPr>
        <w:t xml:space="preserve"> A critério da Administração Municipal, a contribuição poderá ser cobrada individualmente ou em conjunto com a fatura de consumo de energia elétrica ou com o documento de arrecadação do Imposto Predial e Territorial Urbano.  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sz w:val="20"/>
          <w:szCs w:val="20"/>
        </w:rPr>
        <w:t xml:space="preserve"> 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</w:t>
      </w:r>
      <w:r w:rsidRPr="00EF022E">
        <w:rPr>
          <w:rFonts w:ascii="Arial" w:hAnsi="Arial" w:cs="Arial"/>
          <w:b/>
          <w:sz w:val="20"/>
          <w:szCs w:val="20"/>
        </w:rPr>
        <w:t>4</w:t>
      </w:r>
      <w:r w:rsidRPr="00EF022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F022E">
        <w:rPr>
          <w:rFonts w:ascii="Arial" w:hAnsi="Arial" w:cs="Arial"/>
          <w:sz w:val="20"/>
          <w:szCs w:val="20"/>
        </w:rPr>
        <w:t>Os vencimentos e os períodos da arrecadação da contribuição serão fixados por decreto regulamentar.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</w:t>
      </w:r>
      <w:r w:rsidRPr="00EF022E">
        <w:rPr>
          <w:rFonts w:ascii="Arial" w:hAnsi="Arial" w:cs="Arial"/>
          <w:b/>
          <w:sz w:val="20"/>
          <w:szCs w:val="20"/>
        </w:rPr>
        <w:t>5</w:t>
      </w:r>
      <w:r w:rsidRPr="00EF022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F022E">
        <w:rPr>
          <w:rFonts w:ascii="Arial" w:hAnsi="Arial" w:cs="Arial"/>
          <w:sz w:val="20"/>
          <w:szCs w:val="20"/>
        </w:rPr>
        <w:t>O valor da contribuição será aferido tomando-se por base o valor despendido para a prestação do serviço, rateado pelo consumo de energia elétrica no imóvel ou em função da testada de cada imóvel, na forma da tabela anexa quando couber.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 xml:space="preserve">§ </w:t>
      </w:r>
      <w:r w:rsidRPr="00EF022E">
        <w:rPr>
          <w:rFonts w:ascii="Arial" w:hAnsi="Arial" w:cs="Arial"/>
          <w:b/>
          <w:sz w:val="20"/>
          <w:szCs w:val="20"/>
        </w:rPr>
        <w:t>1º</w:t>
      </w:r>
      <w:r w:rsidRPr="00EF022E">
        <w:rPr>
          <w:rFonts w:ascii="Arial" w:hAnsi="Arial" w:cs="Arial"/>
          <w:sz w:val="20"/>
          <w:szCs w:val="20"/>
        </w:rPr>
        <w:t xml:space="preserve"> Quando o imóvel for condomínio, cada unidade corresponderá a testada do imóvel.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§ 2</w:t>
      </w:r>
      <w:r w:rsidRPr="00EF022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F022E">
        <w:rPr>
          <w:rFonts w:ascii="Arial" w:hAnsi="Arial" w:cs="Arial"/>
          <w:sz w:val="20"/>
          <w:szCs w:val="20"/>
        </w:rPr>
        <w:t>Havendo servidão de passagem para acesso ao imóvel, será levado em conta a testada da passagem.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6º</w:t>
      </w:r>
      <w:r w:rsidRPr="00EF022E">
        <w:rPr>
          <w:rFonts w:ascii="Arial" w:hAnsi="Arial" w:cs="Arial"/>
          <w:sz w:val="20"/>
          <w:szCs w:val="20"/>
        </w:rPr>
        <w:t xml:space="preserve"> Fica autorizada a Prefeitura a celebrar com a concessionária distribuidora de energia contrato para que esta efetive a cobrança da contribuição na fatura do consumo de energia elétrica no imóvel.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Parágrafo único.</w:t>
      </w:r>
      <w:r w:rsidRPr="00EF022E">
        <w:rPr>
          <w:rFonts w:ascii="Arial" w:hAnsi="Arial" w:cs="Arial"/>
          <w:sz w:val="20"/>
          <w:szCs w:val="20"/>
        </w:rPr>
        <w:t xml:space="preserve"> No caso da cobrança da contribuição se dar pela concessionária, será aplicada apenas uma multa de 2% (dois por cento) do seu valor, desde que o pagamento se dê dentro do mesmo exercício; caso não seja, será aplicada a prescrição do caput.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7º</w:t>
      </w:r>
      <w:r w:rsidRPr="00EF022E">
        <w:rPr>
          <w:rFonts w:ascii="Arial" w:hAnsi="Arial" w:cs="Arial"/>
          <w:sz w:val="20"/>
          <w:szCs w:val="20"/>
        </w:rPr>
        <w:t xml:space="preserve"> O não pagamento da contribuição nos prazos fixados, sujeitará o contribuinte a todos os acréscimos fixados para o não pagamento dos tributos municipais. 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sz w:val="20"/>
          <w:szCs w:val="20"/>
        </w:rPr>
        <w:t xml:space="preserve">  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8º</w:t>
      </w:r>
      <w:r w:rsidRPr="00EF022E">
        <w:rPr>
          <w:rFonts w:ascii="Arial" w:hAnsi="Arial" w:cs="Arial"/>
          <w:sz w:val="20"/>
          <w:szCs w:val="20"/>
        </w:rPr>
        <w:t xml:space="preserve"> Esta lei será regulamentada por decreto no prazo de 30 (trinta) dias.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b/>
          <w:sz w:val="20"/>
          <w:szCs w:val="20"/>
        </w:rPr>
        <w:t>Art.</w:t>
      </w:r>
      <w:r w:rsidRPr="00EF022E">
        <w:rPr>
          <w:rFonts w:ascii="Arial" w:hAnsi="Arial" w:cs="Arial"/>
          <w:b/>
          <w:sz w:val="20"/>
          <w:szCs w:val="20"/>
        </w:rPr>
        <w:t xml:space="preserve"> 9º</w:t>
      </w:r>
      <w:r w:rsidRPr="00EF022E">
        <w:rPr>
          <w:rFonts w:ascii="Arial" w:hAnsi="Arial" w:cs="Arial"/>
          <w:sz w:val="20"/>
          <w:szCs w:val="20"/>
        </w:rPr>
        <w:t xml:space="preserve"> A presente lei entra em vigor na data de sua publicação, mas terá eficácia a partir do dia </w:t>
      </w:r>
      <w:r>
        <w:rPr>
          <w:rFonts w:ascii="Arial" w:hAnsi="Arial" w:cs="Arial"/>
          <w:sz w:val="20"/>
          <w:szCs w:val="20"/>
        </w:rPr>
        <w:t>1º</w:t>
      </w:r>
      <w:r w:rsidRPr="00EF022E">
        <w:rPr>
          <w:rFonts w:ascii="Arial" w:hAnsi="Arial" w:cs="Arial"/>
          <w:sz w:val="20"/>
          <w:szCs w:val="20"/>
        </w:rPr>
        <w:t xml:space="preserve"> de janeiro de 2003.</w:t>
      </w:r>
    </w:p>
    <w:p w:rsid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022E" w:rsidRPr="00EF022E" w:rsidRDefault="00EF022E" w:rsidP="00EF02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022E">
        <w:rPr>
          <w:rFonts w:ascii="Arial" w:hAnsi="Arial" w:cs="Arial"/>
          <w:sz w:val="20"/>
          <w:szCs w:val="20"/>
        </w:rPr>
        <w:t>Ferraz de Vasconcelos, 30 de dezembro de 2002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D17D9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0A5F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8373B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16AA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EF022E"/>
    <w:rsid w:val="00EF0D41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80082D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CBB7-0780-4819-AFBB-4596279D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2019-04-29T13:26:00Z</dcterms:created>
  <dcterms:modified xsi:type="dcterms:W3CDTF">2019-04-29T13:30:00Z</dcterms:modified>
</cp:coreProperties>
</file>