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37A75">
        <w:rPr>
          <w:rFonts w:ascii="Arial" w:hAnsi="Arial" w:cs="Arial"/>
          <w:b/>
          <w:sz w:val="20"/>
          <w:szCs w:val="20"/>
        </w:rPr>
        <w:t>2.518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7A75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4AF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A75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do inciso XII, do art. 2º, da Lei Municipal nº 2.505/2003</w:t>
      </w:r>
      <w:r w:rsidR="004F44A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D1092E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137A75">
        <w:rPr>
          <w:rFonts w:ascii="Arial" w:hAnsi="Arial" w:cs="Arial"/>
          <w:sz w:val="20"/>
          <w:szCs w:val="20"/>
        </w:rPr>
        <w:t>Revoga o inciso XII, do art. 2º, da Lei Municipal nº 2.505, de 24 de junho de 2003.</w:t>
      </w:r>
    </w:p>
    <w:p w:rsidR="003606E9" w:rsidRDefault="003606E9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DA0859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DA0859">
        <w:rPr>
          <w:rFonts w:ascii="Arial" w:hAnsi="Arial" w:cs="Arial"/>
          <w:sz w:val="20"/>
          <w:szCs w:val="20"/>
        </w:rPr>
        <w:t>publicação.</w:t>
      </w:r>
    </w:p>
    <w:p w:rsidR="004632FA" w:rsidRDefault="004632FA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A0859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4F44AF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15EB7"/>
    <w:rsid w:val="0012329B"/>
    <w:rsid w:val="00124A2B"/>
    <w:rsid w:val="00127A68"/>
    <w:rsid w:val="00137A75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606E9"/>
    <w:rsid w:val="00372F13"/>
    <w:rsid w:val="00386CD7"/>
    <w:rsid w:val="00403851"/>
    <w:rsid w:val="00430520"/>
    <w:rsid w:val="004632FA"/>
    <w:rsid w:val="00476449"/>
    <w:rsid w:val="004F44AF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7F2773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01113"/>
    <w:rsid w:val="00C106E2"/>
    <w:rsid w:val="00C459C2"/>
    <w:rsid w:val="00C62471"/>
    <w:rsid w:val="00C65DF8"/>
    <w:rsid w:val="00C84725"/>
    <w:rsid w:val="00CA0003"/>
    <w:rsid w:val="00CD1C7A"/>
    <w:rsid w:val="00D1092E"/>
    <w:rsid w:val="00D155C8"/>
    <w:rsid w:val="00D20548"/>
    <w:rsid w:val="00D7651E"/>
    <w:rsid w:val="00D77299"/>
    <w:rsid w:val="00D94C94"/>
    <w:rsid w:val="00DA0859"/>
    <w:rsid w:val="00DA30E8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2019-04-18T18:31:00Z</dcterms:created>
  <dcterms:modified xsi:type="dcterms:W3CDTF">2019-04-18T18:32:00Z</dcterms:modified>
</cp:coreProperties>
</file>