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A62DA">
        <w:rPr>
          <w:rFonts w:ascii="Arial" w:hAnsi="Arial" w:cs="Arial"/>
          <w:b/>
          <w:sz w:val="20"/>
          <w:szCs w:val="20"/>
        </w:rPr>
        <w:t>2.521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A62DA">
        <w:rPr>
          <w:rFonts w:ascii="Arial" w:hAnsi="Arial" w:cs="Arial"/>
          <w:b/>
          <w:sz w:val="20"/>
          <w:szCs w:val="20"/>
        </w:rPr>
        <w:t>28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A62DA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F57338">
        <w:rPr>
          <w:rFonts w:ascii="Arial" w:hAnsi="Arial" w:cs="Arial"/>
          <w:sz w:val="20"/>
          <w:szCs w:val="20"/>
        </w:rPr>
        <w:t>a</w:t>
      </w:r>
      <w:bookmarkStart w:id="2" w:name="_GoBack"/>
      <w:bookmarkEnd w:id="2"/>
      <w:r w:rsidR="00103A17">
        <w:rPr>
          <w:rFonts w:ascii="Arial" w:hAnsi="Arial" w:cs="Arial"/>
          <w:sz w:val="20"/>
          <w:szCs w:val="20"/>
        </w:rPr>
        <w:t>lteração de</w:t>
      </w:r>
      <w:r w:rsidR="00F57338">
        <w:rPr>
          <w:rFonts w:ascii="Arial" w:hAnsi="Arial" w:cs="Arial"/>
          <w:sz w:val="20"/>
          <w:szCs w:val="20"/>
        </w:rPr>
        <w:t xml:space="preserve"> denominação de </w:t>
      </w:r>
      <w:r w:rsidR="00A75945">
        <w:rPr>
          <w:rFonts w:ascii="Arial" w:hAnsi="Arial" w:cs="Arial"/>
          <w:sz w:val="20"/>
          <w:szCs w:val="20"/>
        </w:rPr>
        <w:t>via</w:t>
      </w:r>
      <w:r w:rsidR="00DA62DA">
        <w:rPr>
          <w:rFonts w:ascii="Arial" w:hAnsi="Arial" w:cs="Arial"/>
          <w:sz w:val="20"/>
          <w:szCs w:val="20"/>
        </w:rPr>
        <w:t xml:space="preserve"> pública</w:t>
      </w:r>
      <w:r w:rsidR="00A75945">
        <w:rPr>
          <w:rFonts w:ascii="Arial" w:hAnsi="Arial" w:cs="Arial"/>
          <w:sz w:val="20"/>
          <w:szCs w:val="20"/>
        </w:rPr>
        <w:t xml:space="preserve"> </w:t>
      </w:r>
      <w:r w:rsidR="00103A17">
        <w:rPr>
          <w:rFonts w:ascii="Arial" w:hAnsi="Arial" w:cs="Arial"/>
          <w:sz w:val="20"/>
          <w:szCs w:val="20"/>
        </w:rPr>
        <w:t>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DA62DA">
        <w:rPr>
          <w:rFonts w:ascii="Arial" w:hAnsi="Arial" w:cs="Arial"/>
          <w:sz w:val="20"/>
          <w:szCs w:val="20"/>
        </w:rPr>
        <w:t>Fica alterada a denominação da atual viela existente entre Ruas Hermenegildo Petegrosso e Mário Junqueira, Localizada no loteamento denominado Tanquinho, passa a denominar-se Viela Waldir Pereira.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A62DA">
        <w:rPr>
          <w:rFonts w:ascii="Arial" w:hAnsi="Arial" w:cs="Arial"/>
          <w:sz w:val="20"/>
          <w:szCs w:val="20"/>
        </w:rPr>
        <w:t>28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A62DA">
        <w:rPr>
          <w:rFonts w:ascii="Arial" w:hAnsi="Arial" w:cs="Arial"/>
          <w:sz w:val="20"/>
          <w:szCs w:val="20"/>
        </w:rPr>
        <w:t>outubro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D0640"/>
    <w:rsid w:val="00A034B4"/>
    <w:rsid w:val="00A75945"/>
    <w:rsid w:val="00AD1C95"/>
    <w:rsid w:val="00B43F6F"/>
    <w:rsid w:val="00B77E8A"/>
    <w:rsid w:val="00B83342"/>
    <w:rsid w:val="00B9293F"/>
    <w:rsid w:val="00C106E2"/>
    <w:rsid w:val="00C56958"/>
    <w:rsid w:val="00C60C7B"/>
    <w:rsid w:val="00C62471"/>
    <w:rsid w:val="00C65DF8"/>
    <w:rsid w:val="00C84725"/>
    <w:rsid w:val="00C945C8"/>
    <w:rsid w:val="00CA0003"/>
    <w:rsid w:val="00CA2EFD"/>
    <w:rsid w:val="00CD1C7A"/>
    <w:rsid w:val="00D155C8"/>
    <w:rsid w:val="00D2054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2019-04-18T18:48:00Z</dcterms:created>
  <dcterms:modified xsi:type="dcterms:W3CDTF">2019-04-18T18:53:00Z</dcterms:modified>
</cp:coreProperties>
</file>