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D413A2">
        <w:rPr>
          <w:rFonts w:ascii="Arial" w:hAnsi="Arial" w:cs="Arial"/>
          <w:b/>
          <w:sz w:val="20"/>
          <w:szCs w:val="20"/>
        </w:rPr>
        <w:t>55</w:t>
      </w:r>
      <w:r w:rsidR="009C613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6138">
        <w:rPr>
          <w:rFonts w:ascii="Arial" w:hAnsi="Arial" w:cs="Arial"/>
          <w:b/>
          <w:sz w:val="20"/>
          <w:szCs w:val="20"/>
        </w:rPr>
        <w:t>24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 xml:space="preserve">A atual Rua “Dois”, que se inicia na Rua Catarina e termina na Rua João de Deus Moraes, localizada no Conjunto Habitacional Fazenda </w:t>
      </w:r>
      <w:proofErr w:type="spellStart"/>
      <w:r w:rsidR="009C6138">
        <w:rPr>
          <w:rFonts w:ascii="Arial" w:hAnsi="Arial" w:cs="Arial"/>
          <w:sz w:val="20"/>
          <w:szCs w:val="20"/>
        </w:rPr>
        <w:t>Itajuíbe</w:t>
      </w:r>
      <w:proofErr w:type="spellEnd"/>
      <w:r w:rsidR="009C6138">
        <w:rPr>
          <w:rFonts w:ascii="Arial" w:hAnsi="Arial" w:cs="Arial"/>
          <w:sz w:val="20"/>
          <w:szCs w:val="20"/>
        </w:rPr>
        <w:t xml:space="preserve">, passa a denominar-se “Catarina </w:t>
      </w:r>
      <w:proofErr w:type="spellStart"/>
      <w:proofErr w:type="gramStart"/>
      <w:r w:rsidR="009C6138">
        <w:rPr>
          <w:rFonts w:ascii="Arial" w:hAnsi="Arial" w:cs="Arial"/>
          <w:sz w:val="20"/>
          <w:szCs w:val="20"/>
        </w:rPr>
        <w:t>Corassim</w:t>
      </w:r>
      <w:proofErr w:type="spellEnd"/>
      <w:r w:rsidR="00182662">
        <w:rPr>
          <w:rFonts w:ascii="Arial" w:hAnsi="Arial" w:cs="Arial"/>
          <w:sz w:val="20"/>
          <w:szCs w:val="20"/>
        </w:rPr>
        <w:t>.</w:t>
      </w:r>
      <w:r w:rsidR="009C6138">
        <w:rPr>
          <w:rFonts w:ascii="Arial" w:hAnsi="Arial" w:cs="Arial"/>
          <w:sz w:val="20"/>
          <w:szCs w:val="20"/>
        </w:rPr>
        <w:t>”</w:t>
      </w:r>
      <w:proofErr w:type="gramEnd"/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C03D13">
        <w:rPr>
          <w:rFonts w:ascii="Arial" w:hAnsi="Arial" w:cs="Arial"/>
          <w:sz w:val="20"/>
          <w:szCs w:val="20"/>
        </w:rPr>
        <w:t>rá</w:t>
      </w:r>
      <w:r w:rsidR="0019398A">
        <w:rPr>
          <w:rFonts w:ascii="Arial" w:hAnsi="Arial" w:cs="Arial"/>
          <w:sz w:val="20"/>
          <w:szCs w:val="20"/>
        </w:rPr>
        <w:t xml:space="preserve"> 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9C6138">
        <w:rPr>
          <w:rFonts w:ascii="Arial" w:hAnsi="Arial" w:cs="Arial"/>
          <w:sz w:val="20"/>
          <w:szCs w:val="20"/>
        </w:rPr>
        <w:t>, revogadas as disposições em contrário, em especial aquelas constantes da Lei nº 2.528, de 25 de novembro de 2003</w:t>
      </w:r>
      <w:r w:rsidR="0019398A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>24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23" w:rsidRDefault="00B27723" w:rsidP="009243B3">
      <w:pPr>
        <w:spacing w:after="0" w:line="240" w:lineRule="auto"/>
      </w:pPr>
      <w:r>
        <w:separator/>
      </w:r>
    </w:p>
  </w:endnote>
  <w:endnote w:type="continuationSeparator" w:id="0">
    <w:p w:rsidR="00B27723" w:rsidRDefault="00B277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23" w:rsidRDefault="00B27723" w:rsidP="009243B3">
      <w:pPr>
        <w:spacing w:after="0" w:line="240" w:lineRule="auto"/>
      </w:pPr>
      <w:r>
        <w:separator/>
      </w:r>
    </w:p>
  </w:footnote>
  <w:footnote w:type="continuationSeparator" w:id="0">
    <w:p w:rsidR="00B27723" w:rsidRDefault="00B277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266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7723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F4992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CDC5-DCE3-4AE6-B612-25E8FC9C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2019-04-17T17:02:00Z</dcterms:created>
  <dcterms:modified xsi:type="dcterms:W3CDTF">2019-04-24T16:09:00Z</dcterms:modified>
</cp:coreProperties>
</file>