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A25F0">
        <w:rPr>
          <w:rFonts w:ascii="Arial" w:hAnsi="Arial" w:cs="Arial"/>
          <w:b/>
          <w:sz w:val="20"/>
          <w:szCs w:val="20"/>
        </w:rPr>
        <w:t>615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4F49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A25F0" w:rsidP="00FB4F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A25F0">
        <w:rPr>
          <w:rFonts w:ascii="Arial" w:hAnsi="Arial" w:cs="Arial"/>
          <w:sz w:val="20"/>
          <w:szCs w:val="20"/>
        </w:rPr>
        <w:t>Dá nova redação aos artigos 14 e 17 da Lei n</w:t>
      </w:r>
      <w:r>
        <w:rPr>
          <w:rFonts w:ascii="Arial" w:hAnsi="Arial" w:cs="Arial"/>
          <w:sz w:val="20"/>
          <w:szCs w:val="20"/>
        </w:rPr>
        <w:t>º 2.320/</w:t>
      </w:r>
      <w:r w:rsidRPr="003A25F0">
        <w:rPr>
          <w:rFonts w:ascii="Arial" w:hAnsi="Arial" w:cs="Arial"/>
          <w:sz w:val="20"/>
          <w:szCs w:val="20"/>
        </w:rPr>
        <w:t>99</w:t>
      </w:r>
      <w:r w:rsidR="0005044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3A2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A25F0">
        <w:rPr>
          <w:rFonts w:ascii="Arial" w:hAnsi="Arial" w:cs="Arial"/>
          <w:sz w:val="20"/>
          <w:szCs w:val="20"/>
        </w:rPr>
        <w:t>O</w:t>
      </w:r>
      <w:r w:rsidR="003A25F0" w:rsidRPr="003A25F0">
        <w:rPr>
          <w:rFonts w:ascii="Arial" w:hAnsi="Arial" w:cs="Arial"/>
          <w:sz w:val="20"/>
          <w:szCs w:val="20"/>
        </w:rPr>
        <w:t>s artigos 14 e 17 da Lei n</w:t>
      </w:r>
      <w:r w:rsidR="003A25F0">
        <w:rPr>
          <w:rFonts w:ascii="Arial" w:hAnsi="Arial" w:cs="Arial"/>
          <w:sz w:val="20"/>
          <w:szCs w:val="20"/>
        </w:rPr>
        <w:t>º</w:t>
      </w:r>
      <w:r w:rsidR="003A25F0" w:rsidRPr="003A25F0">
        <w:rPr>
          <w:rFonts w:ascii="Arial" w:hAnsi="Arial" w:cs="Arial"/>
          <w:sz w:val="20"/>
          <w:szCs w:val="20"/>
        </w:rPr>
        <w:t xml:space="preserve"> 2.320, de 7 de</w:t>
      </w:r>
      <w:r w:rsidR="003A25F0">
        <w:rPr>
          <w:rFonts w:ascii="Arial" w:hAnsi="Arial" w:cs="Arial"/>
          <w:sz w:val="20"/>
          <w:szCs w:val="20"/>
        </w:rPr>
        <w:t xml:space="preserve"> </w:t>
      </w:r>
      <w:r w:rsidR="003A25F0" w:rsidRPr="003A25F0">
        <w:rPr>
          <w:rFonts w:ascii="Arial" w:hAnsi="Arial" w:cs="Arial"/>
          <w:sz w:val="20"/>
          <w:szCs w:val="20"/>
        </w:rPr>
        <w:t>junho de 1999, q</w:t>
      </w:r>
      <w:r w:rsidR="003A25F0">
        <w:rPr>
          <w:rFonts w:ascii="Arial" w:hAnsi="Arial" w:cs="Arial"/>
          <w:sz w:val="20"/>
          <w:szCs w:val="20"/>
        </w:rPr>
        <w:t>u</w:t>
      </w:r>
      <w:r w:rsidR="003A25F0" w:rsidRPr="003A25F0">
        <w:rPr>
          <w:rFonts w:ascii="Arial" w:hAnsi="Arial" w:cs="Arial"/>
          <w:sz w:val="20"/>
          <w:szCs w:val="20"/>
        </w:rPr>
        <w:t>e dispõe sobre</w:t>
      </w:r>
      <w:r w:rsidR="003A25F0">
        <w:rPr>
          <w:rFonts w:ascii="Arial" w:hAnsi="Arial" w:cs="Arial"/>
          <w:sz w:val="20"/>
          <w:szCs w:val="20"/>
        </w:rPr>
        <w:t xml:space="preserve"> a</w:t>
      </w:r>
      <w:r w:rsidR="003A25F0" w:rsidRPr="003A25F0">
        <w:rPr>
          <w:rFonts w:ascii="Arial" w:hAnsi="Arial" w:cs="Arial"/>
          <w:sz w:val="20"/>
          <w:szCs w:val="20"/>
        </w:rPr>
        <w:t xml:space="preserve"> limpeza nos imóveis, fechamento</w:t>
      </w:r>
      <w:r w:rsidR="003A25F0">
        <w:rPr>
          <w:rFonts w:ascii="Arial" w:hAnsi="Arial" w:cs="Arial"/>
          <w:sz w:val="20"/>
          <w:szCs w:val="20"/>
        </w:rPr>
        <w:t xml:space="preserve"> de </w:t>
      </w:r>
      <w:r w:rsidR="003A25F0" w:rsidRPr="003A25F0">
        <w:rPr>
          <w:rFonts w:ascii="Arial" w:hAnsi="Arial" w:cs="Arial"/>
          <w:sz w:val="20"/>
          <w:szCs w:val="20"/>
        </w:rPr>
        <w:t>terrenos não edificados e a</w:t>
      </w:r>
      <w:r w:rsidR="003A25F0">
        <w:rPr>
          <w:rFonts w:ascii="Arial" w:hAnsi="Arial" w:cs="Arial"/>
          <w:sz w:val="20"/>
          <w:szCs w:val="20"/>
        </w:rPr>
        <w:t xml:space="preserve"> construção de passeios e dá outras</w:t>
      </w:r>
      <w:r w:rsidR="003A25F0" w:rsidRPr="003A25F0">
        <w:t xml:space="preserve"> </w:t>
      </w:r>
      <w:r w:rsidR="003A25F0" w:rsidRPr="003A25F0">
        <w:rPr>
          <w:rFonts w:ascii="Arial" w:hAnsi="Arial" w:cs="Arial"/>
          <w:sz w:val="20"/>
          <w:szCs w:val="20"/>
        </w:rPr>
        <w:t>providências, passam a vigorar com as seguintes redações:</w:t>
      </w: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5F0" w:rsidRDefault="003A25F0" w:rsidP="003A2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Pr="003A25F0">
        <w:rPr>
          <w:rFonts w:ascii="Arial" w:hAnsi="Arial" w:cs="Arial"/>
          <w:sz w:val="20"/>
          <w:szCs w:val="20"/>
        </w:rPr>
        <w:t xml:space="preserve"> 14</w:t>
      </w:r>
      <w:r>
        <w:rPr>
          <w:rFonts w:ascii="Arial" w:hAnsi="Arial" w:cs="Arial"/>
          <w:sz w:val="20"/>
          <w:szCs w:val="20"/>
        </w:rPr>
        <w:t>.</w:t>
      </w:r>
      <w:r w:rsidRPr="003A25F0">
        <w:rPr>
          <w:rFonts w:ascii="Arial" w:hAnsi="Arial" w:cs="Arial"/>
          <w:sz w:val="20"/>
          <w:szCs w:val="20"/>
        </w:rPr>
        <w:t xml:space="preserve"> As irregularidades constatadas serão objeto de</w:t>
      </w:r>
      <w:r>
        <w:rPr>
          <w:rFonts w:ascii="Arial" w:hAnsi="Arial" w:cs="Arial"/>
          <w:sz w:val="20"/>
          <w:szCs w:val="20"/>
        </w:rPr>
        <w:t xml:space="preserve"> </w:t>
      </w:r>
      <w:r w:rsidRPr="003A25F0">
        <w:rPr>
          <w:rFonts w:ascii="Arial" w:hAnsi="Arial" w:cs="Arial"/>
          <w:sz w:val="20"/>
          <w:szCs w:val="20"/>
        </w:rPr>
        <w:t>notificação dos responsáveis, que deverão saná-las no prazo de quinze</w:t>
      </w:r>
      <w:r>
        <w:rPr>
          <w:rFonts w:ascii="Arial" w:hAnsi="Arial" w:cs="Arial"/>
          <w:sz w:val="20"/>
          <w:szCs w:val="20"/>
        </w:rPr>
        <w:t xml:space="preserve"> </w:t>
      </w:r>
      <w:r w:rsidRPr="003A25F0">
        <w:rPr>
          <w:rFonts w:ascii="Arial" w:hAnsi="Arial" w:cs="Arial"/>
          <w:sz w:val="20"/>
          <w:szCs w:val="20"/>
        </w:rPr>
        <w:t>(15) dias.</w:t>
      </w:r>
    </w:p>
    <w:p w:rsidR="00AF0277" w:rsidRDefault="00AF0277" w:rsidP="003A2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0277" w:rsidRDefault="00AF0277" w:rsidP="00AF02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277">
        <w:rPr>
          <w:rFonts w:ascii="Arial" w:hAnsi="Arial" w:cs="Arial"/>
          <w:sz w:val="20"/>
          <w:szCs w:val="20"/>
        </w:rPr>
        <w:t xml:space="preserve">Parágrafo </w:t>
      </w:r>
      <w:r>
        <w:rPr>
          <w:rFonts w:ascii="Arial" w:hAnsi="Arial" w:cs="Arial"/>
          <w:sz w:val="20"/>
          <w:szCs w:val="20"/>
        </w:rPr>
        <w:t>ú</w:t>
      </w:r>
      <w:r w:rsidRPr="00AF0277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>.</w:t>
      </w:r>
      <w:r w:rsidRPr="00AF0277">
        <w:rPr>
          <w:rFonts w:ascii="Arial" w:hAnsi="Arial" w:cs="Arial"/>
          <w:sz w:val="20"/>
          <w:szCs w:val="20"/>
        </w:rPr>
        <w:t xml:space="preserve"> Findo o prazo previsto no "caput" deste</w:t>
      </w:r>
      <w:r>
        <w:rPr>
          <w:rFonts w:ascii="Arial" w:hAnsi="Arial" w:cs="Arial"/>
          <w:sz w:val="20"/>
          <w:szCs w:val="20"/>
        </w:rPr>
        <w:t xml:space="preserve"> </w:t>
      </w:r>
      <w:r w:rsidRPr="00AF0277">
        <w:rPr>
          <w:rFonts w:ascii="Arial" w:hAnsi="Arial" w:cs="Arial"/>
          <w:sz w:val="20"/>
          <w:szCs w:val="20"/>
        </w:rPr>
        <w:t>artigo e persistindo a irregularidade, o órgão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AF0277">
        <w:rPr>
          <w:rFonts w:ascii="Arial" w:hAnsi="Arial" w:cs="Arial"/>
          <w:sz w:val="20"/>
          <w:szCs w:val="20"/>
        </w:rPr>
        <w:t>pela fiscalização emitirá nova notificação, fixando o prazo de</w:t>
      </w:r>
      <w:r>
        <w:rPr>
          <w:rFonts w:ascii="Arial" w:hAnsi="Arial" w:cs="Arial"/>
          <w:sz w:val="20"/>
          <w:szCs w:val="20"/>
        </w:rPr>
        <w:t xml:space="preserve"> </w:t>
      </w:r>
      <w:r w:rsidRPr="00AF0277">
        <w:rPr>
          <w:rFonts w:ascii="Arial" w:hAnsi="Arial" w:cs="Arial"/>
          <w:sz w:val="20"/>
          <w:szCs w:val="20"/>
        </w:rPr>
        <w:t>quinze (15) dias para adequação aos requisitos exigidos</w:t>
      </w:r>
      <w:r>
        <w:rPr>
          <w:rFonts w:ascii="Arial" w:hAnsi="Arial" w:cs="Arial"/>
          <w:sz w:val="20"/>
          <w:szCs w:val="20"/>
        </w:rPr>
        <w:t xml:space="preserve"> </w:t>
      </w:r>
      <w:r w:rsidRPr="00AF0277">
        <w:rPr>
          <w:rFonts w:ascii="Arial" w:hAnsi="Arial" w:cs="Arial"/>
          <w:sz w:val="20"/>
          <w:szCs w:val="20"/>
        </w:rPr>
        <w:t>nesta Lei, sujeitando o infrator ao pagamento de multa cumulativa de que trata o artigo 17 desta Lei.</w:t>
      </w:r>
    </w:p>
    <w:p w:rsidR="00AF0277" w:rsidRDefault="00AF0277" w:rsidP="00AF02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0277" w:rsidRDefault="00AF0277" w:rsidP="00AF02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Pr="00AF0277">
        <w:rPr>
          <w:rFonts w:ascii="Arial" w:hAnsi="Arial" w:cs="Arial"/>
          <w:sz w:val="20"/>
          <w:szCs w:val="20"/>
        </w:rPr>
        <w:t xml:space="preserve"> 17</w:t>
      </w:r>
      <w:r>
        <w:rPr>
          <w:rFonts w:ascii="Arial" w:hAnsi="Arial" w:cs="Arial"/>
          <w:sz w:val="20"/>
          <w:szCs w:val="20"/>
        </w:rPr>
        <w:t>. O descump</w:t>
      </w:r>
      <w:r w:rsidRPr="00AF0277">
        <w:rPr>
          <w:rFonts w:ascii="Arial" w:hAnsi="Arial" w:cs="Arial"/>
          <w:sz w:val="20"/>
          <w:szCs w:val="20"/>
        </w:rPr>
        <w:t xml:space="preserve">rimento da </w:t>
      </w:r>
      <w:r>
        <w:rPr>
          <w:rFonts w:ascii="Arial" w:hAnsi="Arial" w:cs="Arial"/>
          <w:sz w:val="20"/>
          <w:szCs w:val="20"/>
        </w:rPr>
        <w:t>no</w:t>
      </w:r>
      <w:r w:rsidRPr="00AF0277">
        <w:rPr>
          <w:rFonts w:ascii="Arial" w:hAnsi="Arial" w:cs="Arial"/>
          <w:sz w:val="20"/>
          <w:szCs w:val="20"/>
        </w:rPr>
        <w:t xml:space="preserve">tificação a </w:t>
      </w:r>
      <w:r>
        <w:rPr>
          <w:rFonts w:ascii="Arial" w:hAnsi="Arial" w:cs="Arial"/>
          <w:sz w:val="20"/>
          <w:szCs w:val="20"/>
        </w:rPr>
        <w:t xml:space="preserve">que se </w:t>
      </w:r>
      <w:r w:rsidRPr="00AF0277">
        <w:rPr>
          <w:rFonts w:ascii="Arial" w:hAnsi="Arial" w:cs="Arial"/>
          <w:sz w:val="20"/>
          <w:szCs w:val="20"/>
        </w:rPr>
        <w:t xml:space="preserve">refere </w:t>
      </w:r>
      <w:r>
        <w:rPr>
          <w:rFonts w:ascii="Arial" w:hAnsi="Arial" w:cs="Arial"/>
          <w:sz w:val="20"/>
          <w:szCs w:val="20"/>
        </w:rPr>
        <w:t>o artigo 1</w:t>
      </w:r>
      <w:r w:rsidRPr="00AF0277">
        <w:rPr>
          <w:rFonts w:ascii="Arial" w:hAnsi="Arial" w:cs="Arial"/>
          <w:sz w:val="20"/>
          <w:szCs w:val="20"/>
        </w:rPr>
        <w:t>4 desta Lei, impo</w:t>
      </w:r>
      <w:r>
        <w:rPr>
          <w:rFonts w:ascii="Arial" w:hAnsi="Arial" w:cs="Arial"/>
          <w:sz w:val="20"/>
          <w:szCs w:val="20"/>
        </w:rPr>
        <w:t>r</w:t>
      </w:r>
      <w:r w:rsidRPr="00AF0277">
        <w:rPr>
          <w:rFonts w:ascii="Arial" w:hAnsi="Arial" w:cs="Arial"/>
          <w:sz w:val="20"/>
          <w:szCs w:val="20"/>
        </w:rPr>
        <w:t>tará na aplicação de multa</w:t>
      </w:r>
      <w:r>
        <w:rPr>
          <w:rFonts w:ascii="Arial" w:hAnsi="Arial" w:cs="Arial"/>
          <w:sz w:val="20"/>
          <w:szCs w:val="20"/>
        </w:rPr>
        <w:t xml:space="preserve"> por </w:t>
      </w:r>
      <w:r w:rsidRPr="00AF0277">
        <w:rPr>
          <w:rFonts w:ascii="Arial" w:hAnsi="Arial" w:cs="Arial"/>
          <w:sz w:val="20"/>
          <w:szCs w:val="20"/>
        </w:rPr>
        <w:t>irregularidade constatada, na seguinte conformidade:</w:t>
      </w:r>
    </w:p>
    <w:p w:rsidR="00AF0277" w:rsidRDefault="00AF0277" w:rsidP="00AF02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354"/>
        <w:gridCol w:w="1734"/>
        <w:gridCol w:w="3443"/>
      </w:tblGrid>
      <w:tr w:rsidR="00AF0277" w:rsidTr="00AF0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0277" w:rsidRPr="00AF0277" w:rsidRDefault="00AF0277" w:rsidP="00AF02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FF7736">
              <w:rPr>
                <w:rFonts w:cs="Arial"/>
                <w:b/>
              </w:rPr>
              <w:t xml:space="preserve">atureza da </w:t>
            </w:r>
            <w:r>
              <w:rPr>
                <w:rFonts w:cs="Arial"/>
                <w:b/>
              </w:rPr>
              <w:t>I</w:t>
            </w:r>
            <w:r w:rsidR="00FF7736">
              <w:rPr>
                <w:rFonts w:cs="Arial"/>
                <w:b/>
              </w:rPr>
              <w:t>rregularidade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277" w:rsidRPr="00AF0277" w:rsidRDefault="00AF0277" w:rsidP="00AF02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="00FF7736">
              <w:rPr>
                <w:rFonts w:cs="Arial"/>
                <w:b/>
              </w:rPr>
              <w:t xml:space="preserve">isposições </w:t>
            </w:r>
            <w:r>
              <w:rPr>
                <w:rFonts w:cs="Arial"/>
                <w:b/>
              </w:rPr>
              <w:t>V</w:t>
            </w:r>
            <w:r w:rsidR="00FF7736">
              <w:rPr>
                <w:rFonts w:cs="Arial"/>
                <w:b/>
              </w:rPr>
              <w:t>ioladas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277" w:rsidRPr="00AF0277" w:rsidRDefault="00AF0277" w:rsidP="00AF02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FF7736">
              <w:rPr>
                <w:rFonts w:cs="Arial"/>
                <w:b/>
              </w:rPr>
              <w:t>ultas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a) fechamento inexistente ou irregular</w:t>
            </w:r>
            <w:bookmarkStart w:id="0" w:name="_GoBack"/>
            <w:bookmarkEnd w:id="0"/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Artigos 2º e 6º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R$ 10,00 (dez reais) por metro linear ou fração do comprimento </w:t>
            </w:r>
            <w:proofErr w:type="spellStart"/>
            <w:r>
              <w:rPr>
                <w:rFonts w:cs="Arial"/>
              </w:rPr>
              <w:t>lindeiro</w:t>
            </w:r>
            <w:proofErr w:type="spellEnd"/>
            <w:r>
              <w:rPr>
                <w:rFonts w:cs="Arial"/>
              </w:rPr>
              <w:t xml:space="preserve"> do imóvel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b) passeio inexistente ou irregular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 8º “caput” e § 3º</w:t>
            </w:r>
          </w:p>
        </w:tc>
        <w:tc>
          <w:tcPr>
            <w:tcW w:w="0" w:type="auto"/>
          </w:tcPr>
          <w:p w:rsidR="00AF0277" w:rsidRDefault="00AF0277" w:rsidP="00AF027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R$ 10,00 (dez reais) por metro linear ou fração do comprimento </w:t>
            </w:r>
            <w:proofErr w:type="spellStart"/>
            <w:r>
              <w:rPr>
                <w:rFonts w:cs="Arial"/>
              </w:rPr>
              <w:t>lindeiro</w:t>
            </w:r>
            <w:proofErr w:type="spellEnd"/>
            <w:r>
              <w:rPr>
                <w:rFonts w:cs="Arial"/>
              </w:rPr>
              <w:t xml:space="preserve"> do imóvel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c) passeio público em mau estado de conservação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 8º, § 2º</w:t>
            </w:r>
          </w:p>
        </w:tc>
        <w:tc>
          <w:tcPr>
            <w:tcW w:w="0" w:type="auto"/>
          </w:tcPr>
          <w:p w:rsidR="00AF0277" w:rsidRDefault="00AF0277" w:rsidP="00AF027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R$ 10,00 (dez reais) por metro linear do passeio público danificado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d) mobiliário urbano no passeio, bloqueando, obstruindo ou dificultando o acesso de veículos, o trânsito de pedestres ou a visibilidade dos motoristas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 10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R$ 56,00 (cinquenta e seis reais) por equipamento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e) falta de limpeza</w:t>
            </w:r>
          </w:p>
        </w:tc>
        <w:tc>
          <w:tcPr>
            <w:tcW w:w="0" w:type="auto"/>
          </w:tcPr>
          <w:p w:rsidR="00AF0277" w:rsidRDefault="00AF0277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 1º</w:t>
            </w:r>
          </w:p>
        </w:tc>
        <w:tc>
          <w:tcPr>
            <w:tcW w:w="0" w:type="auto"/>
          </w:tcPr>
          <w:p w:rsidR="00AF0277" w:rsidRDefault="009A2ECD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R$ 1,00 (um real) por m² (metro quadrado) ou a fração da área total do terreno</w:t>
            </w:r>
          </w:p>
        </w:tc>
      </w:tr>
      <w:tr w:rsidR="00AF0277" w:rsidTr="00AF0277">
        <w:trPr>
          <w:jc w:val="center"/>
        </w:trPr>
        <w:tc>
          <w:tcPr>
            <w:tcW w:w="0" w:type="auto"/>
          </w:tcPr>
          <w:p w:rsidR="00AF0277" w:rsidRDefault="009A2ECD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f) fechamento e/ou passeio danificado por concessionárias ou entidades equivalentes</w:t>
            </w:r>
          </w:p>
        </w:tc>
        <w:tc>
          <w:tcPr>
            <w:tcW w:w="0" w:type="auto"/>
          </w:tcPr>
          <w:p w:rsidR="00AF0277" w:rsidRDefault="009A2ECD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Artigos 7º e 12</w:t>
            </w:r>
          </w:p>
        </w:tc>
        <w:tc>
          <w:tcPr>
            <w:tcW w:w="0" w:type="auto"/>
          </w:tcPr>
          <w:p w:rsidR="00AF0277" w:rsidRDefault="009A2ECD" w:rsidP="00FB4F4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R$ 112,00 (cento e doze reais) por metro linear de fechamento ou passeio danificado.</w:t>
            </w:r>
          </w:p>
        </w:tc>
      </w:tr>
    </w:tbl>
    <w:p w:rsidR="003A25F0" w:rsidRDefault="003A25F0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9A2ECD">
        <w:rPr>
          <w:rFonts w:ascii="Arial" w:hAnsi="Arial" w:cs="Arial"/>
          <w:sz w:val="20"/>
          <w:szCs w:val="20"/>
        </w:rPr>
        <w:t>Esta Lei entra</w:t>
      </w:r>
      <w:r w:rsidR="009A2ECD" w:rsidRPr="00E97D0C">
        <w:rPr>
          <w:rFonts w:ascii="Arial" w:hAnsi="Arial" w:cs="Arial"/>
          <w:sz w:val="20"/>
          <w:szCs w:val="20"/>
        </w:rPr>
        <w:t xml:space="preserve"> em</w:t>
      </w:r>
      <w:r w:rsidR="009A2ECD">
        <w:rPr>
          <w:rFonts w:ascii="Arial" w:hAnsi="Arial" w:cs="Arial"/>
          <w:sz w:val="20"/>
          <w:szCs w:val="20"/>
        </w:rPr>
        <w:t xml:space="preserve"> </w:t>
      </w:r>
      <w:r w:rsidR="009A2ECD" w:rsidRPr="00E97D0C">
        <w:rPr>
          <w:rFonts w:ascii="Arial" w:hAnsi="Arial" w:cs="Arial"/>
          <w:sz w:val="20"/>
          <w:szCs w:val="20"/>
        </w:rPr>
        <w:t xml:space="preserve">vigor </w:t>
      </w:r>
      <w:r w:rsidR="009A2ECD">
        <w:rPr>
          <w:rFonts w:ascii="Arial" w:hAnsi="Arial" w:cs="Arial"/>
          <w:sz w:val="20"/>
          <w:szCs w:val="20"/>
        </w:rPr>
        <w:t>na data de sua publicação.</w:t>
      </w:r>
    </w:p>
    <w:p w:rsidR="009A2ECD" w:rsidRDefault="009A2ECD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B4F49" w:rsidP="009A2E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A2ECD">
        <w:rPr>
          <w:rFonts w:ascii="Arial" w:hAnsi="Arial" w:cs="Arial"/>
          <w:sz w:val="20"/>
          <w:szCs w:val="20"/>
        </w:rPr>
        <w:t xml:space="preserve">Revogam-se as disposições em contrário, em especial aquelas constantes das Leis </w:t>
      </w:r>
      <w:proofErr w:type="spellStart"/>
      <w:r w:rsidR="009A2ECD">
        <w:rPr>
          <w:rFonts w:ascii="Arial" w:hAnsi="Arial" w:cs="Arial"/>
          <w:sz w:val="20"/>
          <w:szCs w:val="20"/>
        </w:rPr>
        <w:t>nºs</w:t>
      </w:r>
      <w:proofErr w:type="spellEnd"/>
      <w:r w:rsidR="009A2ECD">
        <w:rPr>
          <w:rFonts w:ascii="Arial" w:hAnsi="Arial" w:cs="Arial"/>
          <w:sz w:val="20"/>
          <w:szCs w:val="20"/>
        </w:rPr>
        <w:t xml:space="preserve"> 2.425/01 e 2.458/02</w:t>
      </w:r>
      <w:r w:rsidRPr="00FB4F49">
        <w:rPr>
          <w:rFonts w:ascii="Arial" w:hAnsi="Arial" w:cs="Arial"/>
          <w:sz w:val="20"/>
          <w:szCs w:val="20"/>
        </w:rPr>
        <w:t>.</w:t>
      </w:r>
      <w:r w:rsidR="002F0A86">
        <w:rPr>
          <w:rFonts w:ascii="Arial" w:hAnsi="Arial" w:cs="Arial"/>
          <w:sz w:val="20"/>
          <w:szCs w:val="20"/>
        </w:rPr>
        <w:t xml:space="preserve"> 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B4F4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A847F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A2ECD" w:rsidRDefault="009A2E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ECD" w:rsidRDefault="009A2E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ECD" w:rsidRDefault="009A2E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9A2ECD" w:rsidRDefault="009A2E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77" w:rsidRDefault="00AF0277" w:rsidP="009243B3">
      <w:pPr>
        <w:spacing w:after="0" w:line="240" w:lineRule="auto"/>
      </w:pPr>
      <w:r>
        <w:separator/>
      </w:r>
    </w:p>
  </w:endnote>
  <w:endnote w:type="continuationSeparator" w:id="0">
    <w:p w:rsidR="00AF0277" w:rsidRDefault="00AF02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77" w:rsidRDefault="00AF0277" w:rsidP="009243B3">
      <w:pPr>
        <w:spacing w:after="0" w:line="240" w:lineRule="auto"/>
      </w:pPr>
      <w:r>
        <w:separator/>
      </w:r>
    </w:p>
  </w:footnote>
  <w:footnote w:type="continuationSeparator" w:id="0">
    <w:p w:rsidR="00AF0277" w:rsidRDefault="00AF02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277" w:rsidRDefault="00AF027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AF0277"/>
    <w:rsid w:val="00B1620B"/>
    <w:rsid w:val="00B3441E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7F09"/>
    <w:rsid w:val="00FF2E95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464FA68-513B-4210-91D2-2B845BD1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9AC3-C9C1-49CB-ACF5-8A97722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2019-04-17T20:45:00Z</dcterms:created>
  <dcterms:modified xsi:type="dcterms:W3CDTF">2019-07-03T18:49:00Z</dcterms:modified>
</cp:coreProperties>
</file>