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336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33367F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BE0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328A" w:rsidRDefault="009243B3" w:rsidP="003336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90BE0">
        <w:rPr>
          <w:rFonts w:ascii="Arial" w:hAnsi="Arial" w:cs="Arial"/>
          <w:sz w:val="20"/>
          <w:szCs w:val="20"/>
        </w:rPr>
        <w:t xml:space="preserve">desafetada área pública </w:t>
      </w:r>
      <w:r w:rsidR="0033367F">
        <w:rPr>
          <w:rFonts w:ascii="Arial" w:hAnsi="Arial" w:cs="Arial"/>
          <w:sz w:val="20"/>
          <w:szCs w:val="20"/>
        </w:rPr>
        <w:t>localizada na Rua Cândida X. Simões, no loteamento denominado Jardim São João, conforme “Croqui”, Anexo da presente Lei, que passa a Categoria</w:t>
      </w:r>
      <w:r w:rsidR="00A575FB">
        <w:rPr>
          <w:rFonts w:ascii="Arial" w:hAnsi="Arial" w:cs="Arial"/>
          <w:sz w:val="20"/>
          <w:szCs w:val="20"/>
        </w:rPr>
        <w:t xml:space="preserve"> de Bens patrimoniais do Município, com as seguintes medidas e confrontações:</w:t>
      </w:r>
    </w:p>
    <w:p w:rsidR="00A575FB" w:rsidRDefault="00A575FB" w:rsidP="003336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75FB" w:rsidRDefault="00A575FB" w:rsidP="00A575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1, confrontando a Rua Manoel de Abreu, numa extensão de 19,00m (dezenove metros) até encontrar o Marco 2; daí vira a esquerda, segue em linha reta fazendo frente para os lotes 1 e 4 a P.1 da quadra 14, numa distância de 75,75m (setenta e cinco metros e setenta e cinco centímetros) até encontrar o marco 3; daí vira a esquerda, segue em linha reta fazendo frente para a Rua Caraguatatuba numa distância de 22.36m (vinte e dois metros e trinta e seus centímetros) até encontrar o Marco 4; daí vira a esquerda, segue numa curva confrontando com o lote 10 da quadra 13 numa distância de 14,60m (quatorze metros e sessenta centímetros) até encontrar o Marco 5; daí segue em linha reta confrontando com os lotes 10 da quadra 13, lote 11 da quadra 13, e lote 12 da mesma quadra numa distância de 55,40m (cinqüenta e cinco metros e quarenta centímetros) até encontrar o Marco 6; daí vira a direita, segue em linha curva confrontando com o lote 12 da quadra 13, numa distância de 14,14m (quatorze metros e quatorze centímetros) até encontrar o marco 1, ponto inicial desta descrição encerrando-se uma área total de 797,67 m² (setecentos e noventa e sete metros e sessenta e sete centímetros quadrados.”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A575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F9716F">
        <w:rPr>
          <w:rFonts w:ascii="Arial" w:hAnsi="Arial" w:cs="Arial"/>
          <w:sz w:val="20"/>
          <w:szCs w:val="20"/>
        </w:rPr>
        <w:t xml:space="preserve"> área de terreno citada no artigo 1º da presente Lei, destina-se</w:t>
      </w:r>
      <w:r w:rsidR="00A575FB">
        <w:rPr>
          <w:rFonts w:ascii="Arial" w:hAnsi="Arial" w:cs="Arial"/>
          <w:sz w:val="20"/>
          <w:szCs w:val="20"/>
        </w:rPr>
        <w:t xml:space="preserve"> a Ginásio de Esporte, Recreação e Lazer</w:t>
      </w:r>
      <w:r w:rsidR="00F9716F">
        <w:rPr>
          <w:rFonts w:ascii="Arial" w:hAnsi="Arial" w:cs="Arial"/>
          <w:sz w:val="20"/>
          <w:szCs w:val="20"/>
        </w:rPr>
        <w:t>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13" w:rsidRDefault="00422913" w:rsidP="009243B3">
      <w:pPr>
        <w:spacing w:after="0" w:line="240" w:lineRule="auto"/>
      </w:pPr>
      <w:r>
        <w:separator/>
      </w:r>
    </w:p>
  </w:endnote>
  <w:endnote w:type="continuationSeparator" w:id="1">
    <w:p w:rsidR="00422913" w:rsidRDefault="004229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13" w:rsidRDefault="00422913" w:rsidP="009243B3">
      <w:pPr>
        <w:spacing w:after="0" w:line="240" w:lineRule="auto"/>
      </w:pPr>
      <w:r>
        <w:separator/>
      </w:r>
    </w:p>
  </w:footnote>
  <w:footnote w:type="continuationSeparator" w:id="1">
    <w:p w:rsidR="00422913" w:rsidRDefault="004229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2913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2019-04-20T18:07:00Z</dcterms:created>
  <dcterms:modified xsi:type="dcterms:W3CDTF">2019-04-20T18:43:00Z</dcterms:modified>
</cp:coreProperties>
</file>