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83</w:t>
      </w:r>
      <w:r w:rsidR="00810ED6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810ED6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810ED6">
        <w:rPr>
          <w:rFonts w:ascii="Arial" w:hAnsi="Arial" w:cs="Arial"/>
          <w:b/>
          <w:sz w:val="20"/>
          <w:szCs w:val="20"/>
        </w:rPr>
        <w:t>MARÇ</w:t>
      </w:r>
      <w:r>
        <w:rPr>
          <w:rFonts w:ascii="Arial" w:hAnsi="Arial" w:cs="Arial"/>
          <w:b/>
          <w:sz w:val="20"/>
          <w:szCs w:val="20"/>
        </w:rPr>
        <w:t>O DE 2</w:t>
      </w:r>
      <w:r w:rsidR="00EA7737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4178D4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o </w:t>
      </w:r>
      <w:r w:rsidR="00810ED6">
        <w:rPr>
          <w:rFonts w:ascii="Arial" w:hAnsi="Arial" w:cs="Arial"/>
          <w:sz w:val="20"/>
          <w:szCs w:val="20"/>
        </w:rPr>
        <w:t>§ 2º do art. 1º</w:t>
      </w:r>
      <w:r>
        <w:rPr>
          <w:rFonts w:ascii="Arial" w:hAnsi="Arial" w:cs="Arial"/>
          <w:sz w:val="20"/>
          <w:szCs w:val="20"/>
        </w:rPr>
        <w:t xml:space="preserve"> da Lei 2.</w:t>
      </w:r>
      <w:r w:rsidR="00810ED6">
        <w:rPr>
          <w:rFonts w:ascii="Arial" w:hAnsi="Arial" w:cs="Arial"/>
          <w:sz w:val="20"/>
          <w:szCs w:val="20"/>
        </w:rPr>
        <w:t>600</w:t>
      </w:r>
      <w:r>
        <w:rPr>
          <w:rFonts w:ascii="Arial" w:hAnsi="Arial" w:cs="Arial"/>
          <w:sz w:val="20"/>
          <w:szCs w:val="20"/>
        </w:rPr>
        <w:t>, de 1</w:t>
      </w:r>
      <w:r w:rsidR="00810ED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março</w:t>
      </w:r>
      <w:r w:rsidR="005C2D3B">
        <w:rPr>
          <w:rFonts w:ascii="Arial" w:hAnsi="Arial" w:cs="Arial"/>
          <w:sz w:val="20"/>
          <w:szCs w:val="20"/>
        </w:rPr>
        <w:t xml:space="preserve"> de 200</w:t>
      </w:r>
      <w:r w:rsidR="00810ED6">
        <w:rPr>
          <w:rFonts w:ascii="Arial" w:hAnsi="Arial" w:cs="Arial"/>
          <w:sz w:val="20"/>
          <w:szCs w:val="20"/>
        </w:rPr>
        <w:t>5</w:t>
      </w:r>
      <w:r w:rsidR="009E4E15">
        <w:rPr>
          <w:rFonts w:ascii="Arial" w:hAnsi="Arial" w:cs="Arial"/>
          <w:sz w:val="20"/>
          <w:szCs w:val="20"/>
        </w:rPr>
        <w:t xml:space="preserve">. 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E704B2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USO D</w:t>
      </w:r>
      <w:r w:rsidR="00FC3C38">
        <w:rPr>
          <w:rFonts w:ascii="Arial" w:hAnsi="Arial" w:cs="Arial"/>
          <w:b/>
          <w:sz w:val="20"/>
          <w:szCs w:val="20"/>
        </w:rPr>
        <w:t>E SU</w:t>
      </w:r>
      <w:r w:rsidR="009E4E15">
        <w:rPr>
          <w:rFonts w:ascii="Arial" w:hAnsi="Arial" w:cs="Arial"/>
          <w:b/>
          <w:sz w:val="20"/>
          <w:szCs w:val="20"/>
        </w:rPr>
        <w:t>AS ATRIBUIÇÕES LE</w:t>
      </w:r>
      <w:r w:rsidR="00FC3C38">
        <w:rPr>
          <w:rFonts w:ascii="Arial" w:hAnsi="Arial" w:cs="Arial"/>
          <w:b/>
          <w:sz w:val="20"/>
          <w:szCs w:val="20"/>
        </w:rPr>
        <w:t>GA</w:t>
      </w:r>
      <w:r w:rsidR="009E4E15">
        <w:rPr>
          <w:rFonts w:ascii="Arial" w:hAnsi="Arial" w:cs="Arial"/>
          <w:b/>
          <w:sz w:val="20"/>
          <w:szCs w:val="20"/>
        </w:rPr>
        <w:t>I</w:t>
      </w:r>
      <w:r w:rsidR="00FC3C38">
        <w:rPr>
          <w:rFonts w:ascii="Arial" w:hAnsi="Arial" w:cs="Arial"/>
          <w:b/>
          <w:sz w:val="20"/>
          <w:szCs w:val="20"/>
        </w:rPr>
        <w:t>S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4E15" w:rsidRPr="00734177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7737" w:rsidRDefault="00C74C95" w:rsidP="00EA77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5C2D3B" w:rsidRPr="00D80292">
        <w:rPr>
          <w:rFonts w:ascii="Arial" w:hAnsi="Arial" w:cs="Arial"/>
          <w:sz w:val="20"/>
          <w:szCs w:val="20"/>
        </w:rPr>
        <w:t>O</w:t>
      </w:r>
      <w:r w:rsidR="00810ED6">
        <w:rPr>
          <w:rFonts w:ascii="Arial" w:hAnsi="Arial" w:cs="Arial"/>
          <w:sz w:val="20"/>
          <w:szCs w:val="20"/>
        </w:rPr>
        <w:t xml:space="preserve"> § 2º do Art. 1º, constante da Lei nº 2.600, de 11 de março de 2005, que declara de utilidade pública áreas que especifica, passa a vigorar com a seguinte redação:</w:t>
      </w:r>
    </w:p>
    <w:p w:rsidR="00EA7737" w:rsidRDefault="00EA7737" w:rsidP="00EA77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C95" w:rsidRDefault="005C2D3B" w:rsidP="00EA77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</w:t>
      </w:r>
      <w:r w:rsidR="00810ED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1º </w:t>
      </w:r>
      <w:r w:rsidR="00EA7737">
        <w:rPr>
          <w:rFonts w:ascii="Arial" w:hAnsi="Arial" w:cs="Arial"/>
          <w:sz w:val="20"/>
          <w:szCs w:val="20"/>
        </w:rPr>
        <w:t>(</w:t>
      </w:r>
      <w:r w:rsidR="00810ED6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</w:t>
      </w:r>
      <w:r w:rsidR="00EA773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:rsid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0ED6" w:rsidRPr="00810ED6" w:rsidRDefault="00810ED6" w:rsidP="00810E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0ED6">
        <w:rPr>
          <w:rFonts w:ascii="Arial" w:hAnsi="Arial" w:cs="Arial"/>
          <w:sz w:val="20"/>
          <w:szCs w:val="20"/>
        </w:rPr>
        <w:t>I</w:t>
      </w:r>
      <w:r w:rsidR="00EA7737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="00EA773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EA7737">
        <w:rPr>
          <w:rFonts w:ascii="Arial" w:hAnsi="Arial" w:cs="Arial"/>
          <w:sz w:val="20"/>
          <w:szCs w:val="20"/>
        </w:rPr>
        <w:t>)</w:t>
      </w:r>
    </w:p>
    <w:p w:rsidR="00810ED6" w:rsidRDefault="00810ED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EA7737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="00EA773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EA7737">
        <w:rPr>
          <w:rFonts w:ascii="Arial" w:hAnsi="Arial" w:cs="Arial"/>
          <w:sz w:val="20"/>
          <w:szCs w:val="20"/>
        </w:rPr>
        <w:t>)</w:t>
      </w:r>
    </w:p>
    <w:p w:rsidR="00810ED6" w:rsidRDefault="00810ED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0ED6" w:rsidRDefault="00810ED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1º </w:t>
      </w:r>
      <w:r w:rsidR="00EA773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EA7737">
        <w:rPr>
          <w:rFonts w:ascii="Arial" w:hAnsi="Arial" w:cs="Arial"/>
          <w:sz w:val="20"/>
          <w:szCs w:val="20"/>
        </w:rPr>
        <w:t>)</w:t>
      </w:r>
    </w:p>
    <w:p w:rsidR="00810ED6" w:rsidRDefault="00810ED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0ED6" w:rsidRDefault="00810ED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As áreas objetos da desapropriação se destinam à implantação de sistema de rec</w:t>
      </w:r>
      <w:r w:rsidR="002A43D6">
        <w:rPr>
          <w:rFonts w:ascii="Arial" w:hAnsi="Arial" w:cs="Arial"/>
          <w:sz w:val="20"/>
          <w:szCs w:val="20"/>
        </w:rPr>
        <w:t>reação, equipamento urbano e abertura de via pública”.</w:t>
      </w:r>
    </w:p>
    <w:p w:rsidR="00810ED6" w:rsidRDefault="00810ED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C95" w:rsidRPr="00C74C95" w:rsidRDefault="005C2D3B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0292">
        <w:rPr>
          <w:rFonts w:ascii="Arial" w:hAnsi="Arial" w:cs="Arial"/>
          <w:b/>
          <w:sz w:val="20"/>
          <w:szCs w:val="20"/>
        </w:rPr>
        <w:t>Art. 2º</w:t>
      </w:r>
      <w:r w:rsidR="00D80292">
        <w:rPr>
          <w:rFonts w:ascii="Arial" w:hAnsi="Arial" w:cs="Arial"/>
          <w:b/>
          <w:sz w:val="20"/>
          <w:szCs w:val="20"/>
        </w:rPr>
        <w:t xml:space="preserve"> </w:t>
      </w:r>
      <w:r w:rsidR="00C74C95">
        <w:rPr>
          <w:rFonts w:ascii="Arial" w:hAnsi="Arial" w:cs="Arial"/>
          <w:sz w:val="20"/>
          <w:szCs w:val="20"/>
        </w:rPr>
        <w:t>Esta Lei entra em vigor na data de sua publicação</w:t>
      </w:r>
      <w:r w:rsidR="002A43D6">
        <w:rPr>
          <w:rFonts w:ascii="Arial" w:hAnsi="Arial" w:cs="Arial"/>
          <w:sz w:val="20"/>
          <w:szCs w:val="20"/>
        </w:rPr>
        <w:t>, continuando em vigor e inalteradas os demais dispositivos constantes da Lei 2.600/2005</w:t>
      </w:r>
      <w:r w:rsidR="00F966F3">
        <w:rPr>
          <w:rFonts w:ascii="Arial" w:hAnsi="Arial" w:cs="Arial"/>
          <w:sz w:val="20"/>
          <w:szCs w:val="20"/>
        </w:rPr>
        <w:t>.</w:t>
      </w: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2A43D6">
        <w:rPr>
          <w:rFonts w:ascii="Arial" w:hAnsi="Arial" w:cs="Arial"/>
          <w:sz w:val="20"/>
          <w:szCs w:val="20"/>
        </w:rPr>
        <w:t>14</w:t>
      </w:r>
      <w:r w:rsidR="009E4E15">
        <w:rPr>
          <w:rFonts w:ascii="Arial" w:hAnsi="Arial" w:cs="Arial"/>
          <w:sz w:val="20"/>
          <w:szCs w:val="20"/>
        </w:rPr>
        <w:t xml:space="preserve"> de </w:t>
      </w:r>
      <w:r w:rsidR="002A43D6">
        <w:rPr>
          <w:rFonts w:ascii="Arial" w:hAnsi="Arial" w:cs="Arial"/>
          <w:sz w:val="20"/>
          <w:szCs w:val="20"/>
        </w:rPr>
        <w:t>març</w:t>
      </w:r>
      <w:r w:rsidR="009E4E15">
        <w:rPr>
          <w:rFonts w:ascii="Arial" w:hAnsi="Arial" w:cs="Arial"/>
          <w:sz w:val="20"/>
          <w:szCs w:val="20"/>
        </w:rPr>
        <w:t>o de 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EA7737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F83C3B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F83C3B"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09C" w:rsidRDefault="002F009C" w:rsidP="009243B3">
      <w:pPr>
        <w:spacing w:after="0" w:line="240" w:lineRule="auto"/>
      </w:pPr>
      <w:r>
        <w:separator/>
      </w:r>
    </w:p>
  </w:endnote>
  <w:endnote w:type="continuationSeparator" w:id="0">
    <w:p w:rsidR="002F009C" w:rsidRDefault="002F00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09C" w:rsidRDefault="002F009C" w:rsidP="009243B3">
      <w:pPr>
        <w:spacing w:after="0" w:line="240" w:lineRule="auto"/>
      </w:pPr>
      <w:r>
        <w:separator/>
      </w:r>
    </w:p>
  </w:footnote>
  <w:footnote w:type="continuationSeparator" w:id="0">
    <w:p w:rsidR="002F009C" w:rsidRDefault="002F00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218E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09C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3283D"/>
    <w:rsid w:val="0053303C"/>
    <w:rsid w:val="005333F3"/>
    <w:rsid w:val="00545763"/>
    <w:rsid w:val="005460DC"/>
    <w:rsid w:val="00546C7C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B92"/>
    <w:rsid w:val="009D1123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E2A87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04B2"/>
    <w:rsid w:val="00E72877"/>
    <w:rsid w:val="00E80798"/>
    <w:rsid w:val="00E80C7D"/>
    <w:rsid w:val="00EA22E3"/>
    <w:rsid w:val="00EA3CA1"/>
    <w:rsid w:val="00EA530C"/>
    <w:rsid w:val="00EA7737"/>
    <w:rsid w:val="00EB0060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3C3B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75754-F696-4E93-B263-AFB72D48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2019-04-16T12:08:00Z</dcterms:created>
  <dcterms:modified xsi:type="dcterms:W3CDTF">2019-05-02T20:24:00Z</dcterms:modified>
</cp:coreProperties>
</file>