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EC79B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EC79B9">
        <w:rPr>
          <w:rFonts w:ascii="Arial" w:hAnsi="Arial" w:cs="Arial"/>
          <w:b/>
          <w:sz w:val="20"/>
          <w:szCs w:val="20"/>
        </w:rPr>
        <w:t>2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7C13A8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C01A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Lei nº 2.86</w:t>
      </w:r>
      <w:r w:rsidR="008F17D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/2008</w:t>
      </w:r>
      <w:r w:rsidR="000A4138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EE54CC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MUNICIPAL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AC01AE">
        <w:rPr>
          <w:rFonts w:ascii="Arial" w:hAnsi="Arial" w:cs="Arial"/>
          <w:b/>
          <w:sz w:val="20"/>
          <w:szCs w:val="20"/>
        </w:rPr>
        <w:t>E SU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AC01AE">
        <w:rPr>
          <w:rFonts w:ascii="Arial" w:hAnsi="Arial" w:cs="Arial"/>
          <w:b/>
          <w:sz w:val="20"/>
          <w:szCs w:val="20"/>
        </w:rPr>
        <w:t>GA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AC01AE">
        <w:rPr>
          <w:rFonts w:ascii="Arial" w:hAnsi="Arial" w:cs="Arial"/>
          <w:b/>
          <w:sz w:val="20"/>
          <w:szCs w:val="20"/>
        </w:rPr>
        <w:t>S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AC01AE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AC01AE">
        <w:rPr>
          <w:rFonts w:ascii="Arial" w:hAnsi="Arial" w:cs="Arial"/>
          <w:sz w:val="20"/>
          <w:szCs w:val="20"/>
        </w:rPr>
        <w:t>O artigo 1º, constante da Lei nº 2.86</w:t>
      </w:r>
      <w:r w:rsidR="004E2EF4">
        <w:rPr>
          <w:rFonts w:ascii="Arial" w:hAnsi="Arial" w:cs="Arial"/>
          <w:sz w:val="20"/>
          <w:szCs w:val="20"/>
        </w:rPr>
        <w:t>7</w:t>
      </w:r>
      <w:r w:rsidR="00AC01AE">
        <w:rPr>
          <w:rFonts w:ascii="Arial" w:hAnsi="Arial" w:cs="Arial"/>
          <w:sz w:val="20"/>
          <w:szCs w:val="20"/>
        </w:rPr>
        <w:t>, de 1</w:t>
      </w:r>
      <w:r w:rsidR="00FA73E0">
        <w:rPr>
          <w:rFonts w:ascii="Arial" w:hAnsi="Arial" w:cs="Arial"/>
          <w:sz w:val="20"/>
          <w:szCs w:val="20"/>
        </w:rPr>
        <w:t>7</w:t>
      </w:r>
      <w:r w:rsidR="00AC01AE">
        <w:rPr>
          <w:rFonts w:ascii="Arial" w:hAnsi="Arial" w:cs="Arial"/>
          <w:sz w:val="20"/>
          <w:szCs w:val="20"/>
        </w:rPr>
        <w:t xml:space="preserve"> de </w:t>
      </w:r>
      <w:r w:rsidR="00FA73E0">
        <w:rPr>
          <w:rFonts w:ascii="Arial" w:hAnsi="Arial" w:cs="Arial"/>
          <w:sz w:val="20"/>
          <w:szCs w:val="20"/>
        </w:rPr>
        <w:t>outu</w:t>
      </w:r>
      <w:r w:rsidR="00AC01AE">
        <w:rPr>
          <w:rFonts w:ascii="Arial" w:hAnsi="Arial" w:cs="Arial"/>
          <w:sz w:val="20"/>
          <w:szCs w:val="20"/>
        </w:rPr>
        <w:t xml:space="preserve">bro de 2008, que dispõe sobre a denominação </w:t>
      </w:r>
      <w:r w:rsidR="00FA73E0">
        <w:rPr>
          <w:rFonts w:ascii="Arial" w:hAnsi="Arial" w:cs="Arial"/>
          <w:sz w:val="20"/>
          <w:szCs w:val="20"/>
        </w:rPr>
        <w:t>via pública que especifica,</w:t>
      </w:r>
      <w:r w:rsidR="00AC01AE">
        <w:rPr>
          <w:rFonts w:ascii="Arial" w:hAnsi="Arial" w:cs="Arial"/>
          <w:sz w:val="20"/>
          <w:szCs w:val="20"/>
        </w:rPr>
        <w:t xml:space="preserve"> passa a vigorar com a seguinte redação: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1AE" w:rsidRDefault="00AC01AE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“Art.1º A atual </w:t>
      </w:r>
      <w:r w:rsidR="00FA73E0">
        <w:rPr>
          <w:rFonts w:ascii="Arial" w:hAnsi="Arial" w:cs="Arial"/>
          <w:sz w:val="20"/>
          <w:szCs w:val="20"/>
        </w:rPr>
        <w:t xml:space="preserve">praça pública existente entre as Ruas José Carlos Dantas, Xingu, Benedito de Souza Leite, via existente, que se localiza no loteamento denominado Vila Primavera, passa a denominar-se “Praça </w:t>
      </w:r>
      <w:proofErr w:type="spellStart"/>
      <w:r w:rsidR="00FA73E0">
        <w:rPr>
          <w:rFonts w:ascii="Arial" w:hAnsi="Arial" w:cs="Arial"/>
          <w:sz w:val="20"/>
          <w:szCs w:val="20"/>
        </w:rPr>
        <w:t>Alvino</w:t>
      </w:r>
      <w:proofErr w:type="spellEnd"/>
      <w:r w:rsidR="00FA73E0">
        <w:rPr>
          <w:rFonts w:ascii="Arial" w:hAnsi="Arial" w:cs="Arial"/>
          <w:sz w:val="20"/>
          <w:szCs w:val="20"/>
        </w:rPr>
        <w:t xml:space="preserve"> dos Santos</w:t>
      </w:r>
      <w:r>
        <w:rPr>
          <w:rFonts w:ascii="Arial" w:hAnsi="Arial" w:cs="Arial"/>
          <w:sz w:val="20"/>
          <w:szCs w:val="20"/>
        </w:rPr>
        <w:t>”.</w:t>
      </w:r>
    </w:p>
    <w:p w:rsidR="00AC01AE" w:rsidRDefault="00AC01AE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7C13A8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 w:rsidR="00200D5E">
        <w:rPr>
          <w:rFonts w:ascii="Arial" w:hAnsi="Arial" w:cs="Arial"/>
          <w:sz w:val="20"/>
          <w:szCs w:val="20"/>
        </w:rPr>
        <w:t>, revogadas 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1C1C71">
        <w:rPr>
          <w:rFonts w:ascii="Arial" w:hAnsi="Arial" w:cs="Arial"/>
          <w:sz w:val="20"/>
          <w:szCs w:val="20"/>
        </w:rPr>
        <w:t>2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7C13A8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8AE" w:rsidRDefault="002E08AE" w:rsidP="009243B3">
      <w:pPr>
        <w:spacing w:after="0" w:line="240" w:lineRule="auto"/>
      </w:pPr>
      <w:r>
        <w:separator/>
      </w:r>
    </w:p>
  </w:endnote>
  <w:endnote w:type="continuationSeparator" w:id="0">
    <w:p w:rsidR="002E08AE" w:rsidRDefault="002E08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8AE" w:rsidRDefault="002E08AE" w:rsidP="009243B3">
      <w:pPr>
        <w:spacing w:after="0" w:line="240" w:lineRule="auto"/>
      </w:pPr>
      <w:r>
        <w:separator/>
      </w:r>
    </w:p>
  </w:footnote>
  <w:footnote w:type="continuationSeparator" w:id="0">
    <w:p w:rsidR="002E08AE" w:rsidRDefault="002E08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5D22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08AE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2EF4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13A8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17DC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9AF"/>
    <w:rsid w:val="00EE3D70"/>
    <w:rsid w:val="00EE54CC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A73E0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A44B-378D-4DCE-B29F-EE3B8471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cp:lastPrinted>2019-04-23T14:47:00Z</cp:lastPrinted>
  <dcterms:created xsi:type="dcterms:W3CDTF">2019-04-23T15:51:00Z</dcterms:created>
  <dcterms:modified xsi:type="dcterms:W3CDTF">2019-05-03T14:59:00Z</dcterms:modified>
</cp:coreProperties>
</file>