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87" w:rsidRDefault="00285F07" w:rsidP="00026CC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CD06A0">
        <w:rPr>
          <w:rFonts w:ascii="Arial" w:hAnsi="Arial" w:cs="Arial"/>
          <w:b/>
          <w:sz w:val="20"/>
          <w:szCs w:val="20"/>
        </w:rPr>
        <w:t>1</w:t>
      </w:r>
      <w:r w:rsidR="00432997">
        <w:rPr>
          <w:rFonts w:ascii="Arial" w:hAnsi="Arial" w:cs="Arial"/>
          <w:b/>
          <w:sz w:val="20"/>
          <w:szCs w:val="20"/>
        </w:rPr>
        <w:t>9</w:t>
      </w:r>
      <w:r w:rsidR="007007E0">
        <w:rPr>
          <w:rFonts w:ascii="Arial" w:hAnsi="Arial" w:cs="Arial"/>
          <w:b/>
          <w:sz w:val="20"/>
          <w:szCs w:val="20"/>
        </w:rPr>
        <w:t>0</w:t>
      </w:r>
      <w:r>
        <w:rPr>
          <w:rFonts w:ascii="Arial" w:hAnsi="Arial" w:cs="Arial"/>
          <w:b/>
          <w:sz w:val="20"/>
          <w:szCs w:val="20"/>
        </w:rPr>
        <w:t xml:space="preserve">, </w:t>
      </w:r>
      <w:r w:rsidR="00127A68">
        <w:rPr>
          <w:rFonts w:ascii="Arial" w:hAnsi="Arial" w:cs="Arial"/>
          <w:b/>
          <w:sz w:val="20"/>
          <w:szCs w:val="20"/>
        </w:rPr>
        <w:t>DE</w:t>
      </w:r>
      <w:r w:rsidR="004F0579">
        <w:rPr>
          <w:rFonts w:ascii="Arial" w:hAnsi="Arial" w:cs="Arial"/>
          <w:b/>
          <w:sz w:val="20"/>
          <w:szCs w:val="20"/>
        </w:rPr>
        <w:t xml:space="preserve"> </w:t>
      </w:r>
      <w:r w:rsidR="007007E0">
        <w:rPr>
          <w:rFonts w:ascii="Arial" w:hAnsi="Arial" w:cs="Arial"/>
          <w:b/>
          <w:sz w:val="20"/>
          <w:szCs w:val="20"/>
        </w:rPr>
        <w:t>1</w:t>
      </w:r>
      <w:r w:rsidR="001F6C6D">
        <w:rPr>
          <w:rFonts w:ascii="Arial" w:hAnsi="Arial" w:cs="Arial"/>
          <w:b/>
          <w:sz w:val="20"/>
          <w:szCs w:val="20"/>
        </w:rPr>
        <w:t>1</w:t>
      </w:r>
      <w:r w:rsidR="004611AD">
        <w:rPr>
          <w:rFonts w:ascii="Arial" w:hAnsi="Arial" w:cs="Arial"/>
          <w:b/>
          <w:sz w:val="20"/>
          <w:szCs w:val="20"/>
        </w:rPr>
        <w:t xml:space="preserve"> </w:t>
      </w:r>
      <w:r w:rsidR="00A76198">
        <w:rPr>
          <w:rFonts w:ascii="Arial" w:hAnsi="Arial" w:cs="Arial"/>
          <w:b/>
          <w:sz w:val="20"/>
          <w:szCs w:val="20"/>
        </w:rPr>
        <w:t xml:space="preserve">DE </w:t>
      </w:r>
      <w:r w:rsidR="007007E0">
        <w:rPr>
          <w:rFonts w:ascii="Arial" w:hAnsi="Arial" w:cs="Arial"/>
          <w:b/>
          <w:sz w:val="20"/>
          <w:szCs w:val="20"/>
        </w:rPr>
        <w:t>NOVEM</w:t>
      </w:r>
      <w:r w:rsidR="005146C0">
        <w:rPr>
          <w:rFonts w:ascii="Arial" w:hAnsi="Arial" w:cs="Arial"/>
          <w:b/>
          <w:sz w:val="20"/>
          <w:szCs w:val="20"/>
        </w:rPr>
        <w:t>BRO</w:t>
      </w:r>
      <w:r w:rsidR="00D87DF9">
        <w:rPr>
          <w:rFonts w:ascii="Arial" w:hAnsi="Arial" w:cs="Arial"/>
          <w:b/>
          <w:sz w:val="20"/>
          <w:szCs w:val="20"/>
        </w:rPr>
        <w:t xml:space="preserve"> </w:t>
      </w:r>
      <w:r w:rsidR="00127A68">
        <w:rPr>
          <w:rFonts w:ascii="Arial" w:hAnsi="Arial" w:cs="Arial"/>
          <w:b/>
          <w:sz w:val="20"/>
          <w:szCs w:val="20"/>
        </w:rPr>
        <w:t>DE</w:t>
      </w:r>
      <w:r w:rsidR="008715F7">
        <w:rPr>
          <w:rFonts w:ascii="Arial" w:hAnsi="Arial" w:cs="Arial"/>
          <w:b/>
          <w:sz w:val="20"/>
          <w:szCs w:val="20"/>
        </w:rPr>
        <w:t xml:space="preserve"> </w:t>
      </w:r>
      <w:r w:rsidR="002666A5">
        <w:rPr>
          <w:rFonts w:ascii="Arial" w:hAnsi="Arial" w:cs="Arial"/>
          <w:b/>
          <w:sz w:val="20"/>
          <w:szCs w:val="20"/>
        </w:rPr>
        <w:t>2013</w:t>
      </w:r>
    </w:p>
    <w:p w:rsidR="00C47FE1" w:rsidRDefault="00C47FE1" w:rsidP="00026CC3">
      <w:pPr>
        <w:spacing w:after="0" w:line="240" w:lineRule="auto"/>
        <w:jc w:val="both"/>
        <w:rPr>
          <w:rFonts w:ascii="Arial" w:hAnsi="Arial" w:cs="Arial"/>
          <w:sz w:val="20"/>
          <w:szCs w:val="20"/>
        </w:rPr>
      </w:pPr>
    </w:p>
    <w:p w:rsidR="007007E0" w:rsidRPr="007007E0" w:rsidRDefault="007007E0" w:rsidP="00026CC3">
      <w:pPr>
        <w:spacing w:after="0" w:line="240" w:lineRule="auto"/>
        <w:ind w:left="5103"/>
        <w:jc w:val="both"/>
        <w:rPr>
          <w:rFonts w:ascii="Arial" w:hAnsi="Arial" w:cs="Arial"/>
          <w:sz w:val="20"/>
          <w:szCs w:val="20"/>
        </w:rPr>
      </w:pPr>
      <w:r w:rsidRPr="007007E0">
        <w:rPr>
          <w:rFonts w:ascii="Arial" w:hAnsi="Arial" w:cs="Arial"/>
          <w:sz w:val="20"/>
          <w:szCs w:val="20"/>
        </w:rPr>
        <w:t xml:space="preserve">Dispõe sobre </w:t>
      </w:r>
      <w:r>
        <w:rPr>
          <w:rFonts w:ascii="Arial" w:hAnsi="Arial" w:cs="Arial"/>
          <w:sz w:val="20"/>
          <w:szCs w:val="20"/>
        </w:rPr>
        <w:t>o armazenamento de botijões</w:t>
      </w:r>
      <w:r w:rsidR="00B67056">
        <w:rPr>
          <w:rFonts w:ascii="Arial" w:hAnsi="Arial" w:cs="Arial"/>
          <w:sz w:val="20"/>
          <w:szCs w:val="20"/>
        </w:rPr>
        <w:t xml:space="preserve"> de gás liquefeito de</w:t>
      </w:r>
      <w:r w:rsidR="00026CC3">
        <w:rPr>
          <w:rFonts w:ascii="Arial" w:hAnsi="Arial" w:cs="Arial"/>
          <w:sz w:val="20"/>
          <w:szCs w:val="20"/>
        </w:rPr>
        <w:t xml:space="preserve"> </w:t>
      </w:r>
      <w:r w:rsidR="00B67056">
        <w:rPr>
          <w:rFonts w:ascii="Arial" w:hAnsi="Arial" w:cs="Arial"/>
          <w:sz w:val="20"/>
          <w:szCs w:val="20"/>
        </w:rPr>
        <w:t>petróleo (GLP) no Município de Ferraz de Vasconcelos e dá</w:t>
      </w:r>
      <w:r w:rsidR="00026CC3">
        <w:rPr>
          <w:rFonts w:ascii="Arial" w:hAnsi="Arial" w:cs="Arial"/>
          <w:sz w:val="20"/>
          <w:szCs w:val="20"/>
        </w:rPr>
        <w:t xml:space="preserve"> </w:t>
      </w:r>
      <w:r w:rsidR="00B67056">
        <w:rPr>
          <w:rFonts w:ascii="Arial" w:hAnsi="Arial" w:cs="Arial"/>
          <w:sz w:val="20"/>
          <w:szCs w:val="20"/>
        </w:rPr>
        <w:t>outras providências.</w:t>
      </w:r>
    </w:p>
    <w:p w:rsidR="007007E0" w:rsidRDefault="007007E0" w:rsidP="00026CC3">
      <w:pPr>
        <w:spacing w:after="0" w:line="240" w:lineRule="auto"/>
        <w:jc w:val="both"/>
        <w:rPr>
          <w:rFonts w:ascii="Arial" w:hAnsi="Arial" w:cs="Arial"/>
          <w:b/>
          <w:sz w:val="20"/>
          <w:szCs w:val="20"/>
        </w:rPr>
      </w:pPr>
    </w:p>
    <w:p w:rsidR="00AD1C95" w:rsidRPr="00F943FE" w:rsidRDefault="00722487" w:rsidP="00026CC3">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 NO</w:t>
      </w:r>
      <w:r w:rsidRPr="00F943FE">
        <w:rPr>
          <w:rFonts w:ascii="Arial" w:hAnsi="Arial" w:cs="Arial"/>
          <w:b/>
          <w:sz w:val="20"/>
          <w:szCs w:val="20"/>
        </w:rPr>
        <w:t xml:space="preserve"> </w:t>
      </w:r>
      <w:r w:rsidR="00FF26F0">
        <w:rPr>
          <w:rFonts w:ascii="Arial" w:hAnsi="Arial" w:cs="Arial"/>
          <w:b/>
          <w:sz w:val="20"/>
          <w:szCs w:val="20"/>
        </w:rPr>
        <w:t>USO DAS ATRIBUIÇÕ</w:t>
      </w:r>
      <w:r>
        <w:rPr>
          <w:rFonts w:ascii="Arial" w:hAnsi="Arial" w:cs="Arial"/>
          <w:b/>
          <w:sz w:val="20"/>
          <w:szCs w:val="20"/>
        </w:rPr>
        <w:t>ES</w:t>
      </w:r>
      <w:r w:rsidR="00E317DE">
        <w:rPr>
          <w:rFonts w:ascii="Arial" w:hAnsi="Arial" w:cs="Arial"/>
          <w:b/>
          <w:sz w:val="20"/>
          <w:szCs w:val="20"/>
        </w:rPr>
        <w:t xml:space="preserve"> QUE LHE SÃO CONFERIDAS POR LEI;</w:t>
      </w:r>
    </w:p>
    <w:p w:rsidR="009243B3" w:rsidRDefault="009243B3" w:rsidP="00026CC3">
      <w:pPr>
        <w:spacing w:after="0" w:line="240" w:lineRule="auto"/>
        <w:ind w:firstLine="4502"/>
        <w:jc w:val="both"/>
        <w:rPr>
          <w:rFonts w:ascii="Arial" w:hAnsi="Arial" w:cs="Arial"/>
          <w:sz w:val="20"/>
          <w:szCs w:val="20"/>
        </w:rPr>
      </w:pPr>
    </w:p>
    <w:p w:rsidR="00734177" w:rsidRPr="00626B9A" w:rsidRDefault="00722487" w:rsidP="00026CC3">
      <w:pPr>
        <w:spacing w:after="0" w:line="240" w:lineRule="auto"/>
        <w:ind w:firstLine="4502"/>
        <w:jc w:val="both"/>
        <w:rPr>
          <w:rFonts w:ascii="Arial" w:hAnsi="Arial" w:cs="Arial"/>
          <w:sz w:val="20"/>
          <w:szCs w:val="20"/>
        </w:rPr>
      </w:pPr>
      <w:r w:rsidRPr="00626B9A">
        <w:rPr>
          <w:rFonts w:ascii="Arial" w:hAnsi="Arial" w:cs="Arial"/>
          <w:sz w:val="20"/>
          <w:szCs w:val="20"/>
        </w:rPr>
        <w:t>FAÇO SABER, QUE A CÂMARA MUNICIPAL DECRETA E EU PROMULGO A SEGUINTE LEI:</w:t>
      </w:r>
    </w:p>
    <w:p w:rsidR="00734177" w:rsidRDefault="00734177" w:rsidP="00026CC3">
      <w:pPr>
        <w:spacing w:after="0" w:line="240" w:lineRule="auto"/>
        <w:ind w:firstLine="4502"/>
        <w:jc w:val="both"/>
        <w:rPr>
          <w:rFonts w:ascii="Arial" w:hAnsi="Arial" w:cs="Arial"/>
          <w:b/>
          <w:sz w:val="20"/>
          <w:szCs w:val="20"/>
        </w:rPr>
      </w:pPr>
    </w:p>
    <w:p w:rsidR="00626B9A" w:rsidRPr="00734177" w:rsidRDefault="00626B9A" w:rsidP="00026CC3">
      <w:pPr>
        <w:spacing w:after="0" w:line="240" w:lineRule="auto"/>
        <w:ind w:firstLine="4502"/>
        <w:jc w:val="both"/>
        <w:rPr>
          <w:rFonts w:ascii="Arial" w:hAnsi="Arial" w:cs="Arial"/>
          <w:b/>
          <w:sz w:val="20"/>
          <w:szCs w:val="20"/>
        </w:rPr>
      </w:pPr>
    </w:p>
    <w:p w:rsidR="001F6C6D" w:rsidRPr="00B67056" w:rsidRDefault="00127A68" w:rsidP="00026CC3">
      <w:pPr>
        <w:spacing w:after="0" w:line="240" w:lineRule="auto"/>
        <w:ind w:firstLine="4502"/>
        <w:jc w:val="both"/>
        <w:rPr>
          <w:rFonts w:ascii="Arial" w:hAnsi="Arial" w:cs="Arial"/>
          <w:sz w:val="20"/>
          <w:szCs w:val="20"/>
        </w:rPr>
      </w:pPr>
      <w:r w:rsidRPr="004356CC">
        <w:rPr>
          <w:rFonts w:ascii="Arial" w:hAnsi="Arial" w:cs="Arial"/>
          <w:b/>
          <w:sz w:val="20"/>
          <w:szCs w:val="20"/>
        </w:rPr>
        <w:t>Art.</w:t>
      </w:r>
      <w:r w:rsidR="001D7561" w:rsidRPr="004356CC">
        <w:rPr>
          <w:rFonts w:ascii="Arial" w:hAnsi="Arial" w:cs="Arial"/>
          <w:b/>
          <w:sz w:val="20"/>
          <w:szCs w:val="20"/>
        </w:rPr>
        <w:t xml:space="preserve"> </w:t>
      </w:r>
      <w:r w:rsidR="009243B3" w:rsidRPr="004356CC">
        <w:rPr>
          <w:rFonts w:ascii="Arial" w:hAnsi="Arial" w:cs="Arial"/>
          <w:b/>
          <w:sz w:val="20"/>
          <w:szCs w:val="20"/>
        </w:rPr>
        <w:t>1º</w:t>
      </w:r>
      <w:r w:rsidR="00B67056">
        <w:rPr>
          <w:rFonts w:ascii="Arial" w:hAnsi="Arial" w:cs="Arial"/>
          <w:b/>
          <w:sz w:val="20"/>
          <w:szCs w:val="20"/>
        </w:rPr>
        <w:t xml:space="preserve"> </w:t>
      </w:r>
      <w:r w:rsidR="00B67056" w:rsidRPr="00026CC3">
        <w:rPr>
          <w:rFonts w:ascii="Arial" w:hAnsi="Arial" w:cs="Arial"/>
          <w:sz w:val="20"/>
          <w:szCs w:val="20"/>
        </w:rPr>
        <w:t>O</w:t>
      </w:r>
      <w:r w:rsidR="00B67056">
        <w:rPr>
          <w:rFonts w:ascii="Arial" w:hAnsi="Arial" w:cs="Arial"/>
          <w:b/>
          <w:sz w:val="20"/>
          <w:szCs w:val="20"/>
        </w:rPr>
        <w:t xml:space="preserve"> </w:t>
      </w:r>
      <w:r w:rsidR="00B67056" w:rsidRPr="00B67056">
        <w:rPr>
          <w:rFonts w:ascii="Arial" w:hAnsi="Arial" w:cs="Arial"/>
          <w:sz w:val="20"/>
          <w:szCs w:val="20"/>
        </w:rPr>
        <w:t>armazenamento de botijões de gás liquefeito de petróleo (GLP)</w:t>
      </w:r>
      <w:r w:rsidR="00B67056">
        <w:rPr>
          <w:rFonts w:ascii="Arial" w:hAnsi="Arial" w:cs="Arial"/>
          <w:sz w:val="20"/>
          <w:szCs w:val="20"/>
        </w:rPr>
        <w:t>, no Município de FERRAZ DE VASCONCELOS, fica submetido às regras estabelecidas nesta lei e em suas regulamentações, sem prejuízo do disposto em outras legislações vigentes, especialmente a Portaria n°</w:t>
      </w:r>
      <w:r w:rsidR="00D55C62">
        <w:rPr>
          <w:rFonts w:ascii="Arial" w:hAnsi="Arial" w:cs="Arial"/>
          <w:sz w:val="20"/>
          <w:szCs w:val="20"/>
        </w:rPr>
        <w:t xml:space="preserve"> 27, de 16 de setembro de 1996, do Departamento Nacional de Combustíveis, da Secretaria de Energia do Minist</w:t>
      </w:r>
      <w:r w:rsidR="0000557F">
        <w:rPr>
          <w:rFonts w:ascii="Arial" w:hAnsi="Arial" w:cs="Arial"/>
          <w:sz w:val="20"/>
          <w:szCs w:val="20"/>
        </w:rPr>
        <w:t>é</w:t>
      </w:r>
      <w:r w:rsidR="00D55C62">
        <w:rPr>
          <w:rFonts w:ascii="Arial" w:hAnsi="Arial" w:cs="Arial"/>
          <w:sz w:val="20"/>
          <w:szCs w:val="20"/>
        </w:rPr>
        <w:t>r</w:t>
      </w:r>
      <w:r w:rsidR="004B7B96">
        <w:rPr>
          <w:rFonts w:ascii="Arial" w:hAnsi="Arial" w:cs="Arial"/>
          <w:sz w:val="20"/>
          <w:szCs w:val="20"/>
        </w:rPr>
        <w:t>i</w:t>
      </w:r>
      <w:r w:rsidR="00D55C62">
        <w:rPr>
          <w:rFonts w:ascii="Arial" w:hAnsi="Arial" w:cs="Arial"/>
          <w:sz w:val="20"/>
          <w:szCs w:val="20"/>
        </w:rPr>
        <w:t>o de Minas e Energia.</w:t>
      </w:r>
      <w:r w:rsidR="00B67056">
        <w:rPr>
          <w:rFonts w:ascii="Arial" w:hAnsi="Arial" w:cs="Arial"/>
          <w:sz w:val="20"/>
          <w:szCs w:val="20"/>
        </w:rPr>
        <w:t xml:space="preserve"> </w:t>
      </w:r>
    </w:p>
    <w:p w:rsidR="00B67056" w:rsidRDefault="00B67056" w:rsidP="00026CC3">
      <w:pPr>
        <w:spacing w:after="0" w:line="240" w:lineRule="auto"/>
        <w:ind w:firstLine="4502"/>
        <w:jc w:val="both"/>
        <w:rPr>
          <w:rFonts w:ascii="Arial" w:hAnsi="Arial" w:cs="Arial"/>
          <w:sz w:val="20"/>
          <w:szCs w:val="20"/>
        </w:rPr>
      </w:pPr>
    </w:p>
    <w:p w:rsidR="004B7B96" w:rsidRDefault="00325D03" w:rsidP="00026CC3">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6831CB">
        <w:rPr>
          <w:rFonts w:ascii="Arial" w:hAnsi="Arial" w:cs="Arial"/>
          <w:b/>
          <w:sz w:val="20"/>
          <w:szCs w:val="20"/>
        </w:rPr>
        <w:t>2</w:t>
      </w:r>
      <w:r>
        <w:rPr>
          <w:rFonts w:ascii="Arial" w:hAnsi="Arial" w:cs="Arial"/>
          <w:b/>
          <w:sz w:val="20"/>
          <w:szCs w:val="20"/>
        </w:rPr>
        <w:t>°</w:t>
      </w:r>
      <w:r w:rsidR="00D55C62">
        <w:rPr>
          <w:rFonts w:ascii="Arial" w:hAnsi="Arial" w:cs="Arial"/>
          <w:b/>
          <w:sz w:val="20"/>
          <w:szCs w:val="20"/>
        </w:rPr>
        <w:t xml:space="preserve"> </w:t>
      </w:r>
      <w:r w:rsidR="00D55C62" w:rsidRPr="00D55C62">
        <w:rPr>
          <w:rFonts w:ascii="Arial" w:hAnsi="Arial" w:cs="Arial"/>
          <w:sz w:val="20"/>
          <w:szCs w:val="20"/>
        </w:rPr>
        <w:t>Para as regulamentações estabelecidas nesta lei, consideram-se botijões os recipientes transportáveis de gás liquefeito de petróleo (GLP)</w:t>
      </w:r>
      <w:r w:rsidR="00D55C62">
        <w:rPr>
          <w:rFonts w:ascii="Arial" w:hAnsi="Arial" w:cs="Arial"/>
          <w:sz w:val="20"/>
          <w:szCs w:val="20"/>
        </w:rPr>
        <w:t>,</w:t>
      </w:r>
      <w:r w:rsidR="004B7B96">
        <w:rPr>
          <w:rFonts w:ascii="Arial" w:hAnsi="Arial" w:cs="Arial"/>
          <w:sz w:val="20"/>
          <w:szCs w:val="20"/>
        </w:rPr>
        <w:t xml:space="preserve"> </w:t>
      </w:r>
      <w:r w:rsidR="00D55C62">
        <w:rPr>
          <w:rFonts w:ascii="Arial" w:hAnsi="Arial" w:cs="Arial"/>
          <w:sz w:val="20"/>
          <w:szCs w:val="20"/>
        </w:rPr>
        <w:t>com</w:t>
      </w:r>
      <w:r w:rsidR="004B7B96">
        <w:rPr>
          <w:rFonts w:ascii="Arial" w:hAnsi="Arial" w:cs="Arial"/>
          <w:sz w:val="20"/>
          <w:szCs w:val="20"/>
        </w:rPr>
        <w:t xml:space="preserve"> </w:t>
      </w:r>
      <w:r w:rsidR="00D55C62">
        <w:rPr>
          <w:rFonts w:ascii="Arial" w:hAnsi="Arial" w:cs="Arial"/>
          <w:sz w:val="20"/>
          <w:szCs w:val="20"/>
        </w:rPr>
        <w:t>capacidade no</w:t>
      </w:r>
      <w:r w:rsidR="004B7B96">
        <w:rPr>
          <w:rFonts w:ascii="Arial" w:hAnsi="Arial" w:cs="Arial"/>
          <w:sz w:val="20"/>
          <w:szCs w:val="20"/>
        </w:rPr>
        <w:t>minal de 13kg, cheios, parcialmente utilizados ou vazios, para consumo próprio, devem ser observados os seguintes requisitos:</w:t>
      </w:r>
    </w:p>
    <w:p w:rsidR="004B7B96" w:rsidRDefault="004B7B96" w:rsidP="00026CC3">
      <w:pPr>
        <w:spacing w:after="0" w:line="240" w:lineRule="auto"/>
        <w:ind w:firstLine="4502"/>
        <w:jc w:val="both"/>
        <w:rPr>
          <w:rFonts w:ascii="Arial" w:hAnsi="Arial" w:cs="Arial"/>
          <w:sz w:val="20"/>
          <w:szCs w:val="20"/>
        </w:rPr>
      </w:pPr>
    </w:p>
    <w:p w:rsidR="004B7B96" w:rsidRDefault="004B7B96" w:rsidP="00026CC3">
      <w:pPr>
        <w:spacing w:after="0" w:line="240" w:lineRule="auto"/>
        <w:ind w:firstLine="4502"/>
        <w:jc w:val="both"/>
        <w:rPr>
          <w:rFonts w:ascii="Arial" w:hAnsi="Arial" w:cs="Arial"/>
          <w:sz w:val="20"/>
          <w:szCs w:val="20"/>
        </w:rPr>
      </w:pPr>
      <w:r w:rsidRPr="00572538">
        <w:rPr>
          <w:rFonts w:ascii="Arial" w:hAnsi="Arial" w:cs="Arial"/>
          <w:b/>
          <w:sz w:val="20"/>
          <w:szCs w:val="20"/>
        </w:rPr>
        <w:t xml:space="preserve">I – </w:t>
      </w:r>
      <w:r>
        <w:rPr>
          <w:rFonts w:ascii="Arial" w:hAnsi="Arial" w:cs="Arial"/>
          <w:sz w:val="20"/>
          <w:szCs w:val="20"/>
        </w:rPr>
        <w:t>Possuir ventilação natural;</w:t>
      </w:r>
    </w:p>
    <w:p w:rsidR="00066C21" w:rsidRDefault="004B7B96" w:rsidP="00026CC3">
      <w:pPr>
        <w:spacing w:after="0" w:line="240" w:lineRule="auto"/>
        <w:ind w:firstLine="4502"/>
        <w:jc w:val="both"/>
        <w:rPr>
          <w:rFonts w:ascii="Arial" w:hAnsi="Arial" w:cs="Arial"/>
          <w:sz w:val="20"/>
          <w:szCs w:val="20"/>
        </w:rPr>
      </w:pPr>
      <w:r w:rsidRPr="00572538">
        <w:rPr>
          <w:rFonts w:ascii="Arial" w:hAnsi="Arial" w:cs="Arial"/>
          <w:b/>
          <w:sz w:val="20"/>
          <w:szCs w:val="20"/>
        </w:rPr>
        <w:t xml:space="preserve">II – </w:t>
      </w:r>
      <w:r>
        <w:rPr>
          <w:rFonts w:ascii="Arial" w:hAnsi="Arial" w:cs="Arial"/>
          <w:sz w:val="20"/>
          <w:szCs w:val="20"/>
        </w:rPr>
        <w:t>Estar protegido do sol, da chuva e da umidade;</w:t>
      </w:r>
    </w:p>
    <w:p w:rsidR="004B7B96" w:rsidRDefault="004B7B96" w:rsidP="00026CC3">
      <w:pPr>
        <w:spacing w:after="0" w:line="240" w:lineRule="auto"/>
        <w:ind w:firstLine="4502"/>
        <w:jc w:val="both"/>
        <w:rPr>
          <w:rFonts w:ascii="Arial" w:hAnsi="Arial" w:cs="Arial"/>
          <w:sz w:val="20"/>
          <w:szCs w:val="20"/>
        </w:rPr>
      </w:pPr>
      <w:r w:rsidRPr="00572538">
        <w:rPr>
          <w:rFonts w:ascii="Arial" w:hAnsi="Arial" w:cs="Arial"/>
          <w:b/>
          <w:sz w:val="20"/>
          <w:szCs w:val="20"/>
        </w:rPr>
        <w:t xml:space="preserve">III </w:t>
      </w:r>
      <w:r>
        <w:rPr>
          <w:rFonts w:ascii="Arial" w:hAnsi="Arial" w:cs="Arial"/>
          <w:b/>
          <w:sz w:val="20"/>
          <w:szCs w:val="20"/>
        </w:rPr>
        <w:t xml:space="preserve">– </w:t>
      </w:r>
      <w:r w:rsidRPr="004B7B96">
        <w:rPr>
          <w:rFonts w:ascii="Arial" w:hAnsi="Arial" w:cs="Arial"/>
          <w:sz w:val="20"/>
          <w:szCs w:val="20"/>
        </w:rPr>
        <w:t>Estar afastado de outros produtos inflamáveis, de fontes de calor e de faíscas;</w:t>
      </w:r>
    </w:p>
    <w:p w:rsidR="00CB4B38" w:rsidRDefault="004B7B96" w:rsidP="00026CC3">
      <w:pPr>
        <w:spacing w:after="0" w:line="240" w:lineRule="auto"/>
        <w:ind w:firstLine="4502"/>
        <w:jc w:val="both"/>
        <w:rPr>
          <w:rFonts w:ascii="Arial" w:hAnsi="Arial" w:cs="Arial"/>
          <w:sz w:val="20"/>
          <w:szCs w:val="20"/>
        </w:rPr>
      </w:pPr>
      <w:r>
        <w:rPr>
          <w:rFonts w:ascii="Arial" w:hAnsi="Arial" w:cs="Arial"/>
          <w:sz w:val="20"/>
          <w:szCs w:val="20"/>
        </w:rPr>
        <w:t>I</w:t>
      </w:r>
      <w:r w:rsidRPr="00CB4B38">
        <w:rPr>
          <w:rFonts w:ascii="Arial" w:hAnsi="Arial" w:cs="Arial"/>
          <w:b/>
          <w:sz w:val="20"/>
          <w:szCs w:val="20"/>
        </w:rPr>
        <w:t xml:space="preserve">V </w:t>
      </w:r>
      <w:r w:rsidR="00CB4B38" w:rsidRPr="00CB4B38">
        <w:rPr>
          <w:rFonts w:ascii="Arial" w:hAnsi="Arial" w:cs="Arial"/>
          <w:b/>
          <w:sz w:val="20"/>
          <w:szCs w:val="20"/>
        </w:rPr>
        <w:t>–</w:t>
      </w:r>
      <w:r w:rsidR="00CB4B38">
        <w:rPr>
          <w:rFonts w:ascii="Arial" w:hAnsi="Arial" w:cs="Arial"/>
          <w:sz w:val="20"/>
          <w:szCs w:val="20"/>
        </w:rPr>
        <w:t xml:space="preserve"> Estar afastado, no mínimo, de 1,5m de ralos, caixas de gordura e de esgotos, bem como, de galerias subterrâneas e similares.</w:t>
      </w:r>
    </w:p>
    <w:p w:rsidR="00CB4B38" w:rsidRDefault="00CB4B38" w:rsidP="00026CC3">
      <w:pPr>
        <w:spacing w:after="0" w:line="240" w:lineRule="auto"/>
        <w:jc w:val="both"/>
        <w:rPr>
          <w:rFonts w:ascii="Arial" w:hAnsi="Arial" w:cs="Arial"/>
          <w:sz w:val="20"/>
          <w:szCs w:val="20"/>
        </w:rPr>
      </w:pPr>
    </w:p>
    <w:p w:rsidR="004B7B96" w:rsidRDefault="00CB4B38" w:rsidP="00026CC3">
      <w:pPr>
        <w:spacing w:after="0" w:line="240" w:lineRule="auto"/>
        <w:ind w:firstLine="4502"/>
        <w:jc w:val="both"/>
        <w:rPr>
          <w:rFonts w:ascii="Arial" w:hAnsi="Arial" w:cs="Arial"/>
          <w:sz w:val="20"/>
          <w:szCs w:val="20"/>
        </w:rPr>
      </w:pPr>
      <w:r w:rsidRPr="00CB4B38">
        <w:rPr>
          <w:rFonts w:ascii="Arial" w:hAnsi="Arial" w:cs="Arial"/>
          <w:b/>
          <w:sz w:val="20"/>
          <w:szCs w:val="20"/>
        </w:rPr>
        <w:t>Art. 4°</w:t>
      </w:r>
      <w:r>
        <w:rPr>
          <w:rFonts w:ascii="Arial" w:hAnsi="Arial" w:cs="Arial"/>
          <w:sz w:val="20"/>
          <w:szCs w:val="20"/>
        </w:rPr>
        <w:t xml:space="preserve"> O armazenamento de qualquer quantidade de GLP superior àquela prevista pelo artigo anterior necessitará de instalação compatível com a quantidade de GLP e será limitado pela capacidade nominal total dos recipientes transportáveis, cheios, parcialmente utilizados ou vazios, com as seguintes denominações e características:</w:t>
      </w:r>
    </w:p>
    <w:p w:rsidR="00CB4B38" w:rsidRDefault="00CB4B38" w:rsidP="00026CC3">
      <w:pPr>
        <w:spacing w:after="0" w:line="240" w:lineRule="auto"/>
        <w:ind w:firstLine="4502"/>
        <w:jc w:val="both"/>
        <w:rPr>
          <w:rFonts w:ascii="Arial" w:hAnsi="Arial" w:cs="Arial"/>
          <w:sz w:val="20"/>
          <w:szCs w:val="20"/>
        </w:rPr>
      </w:pPr>
    </w:p>
    <w:p w:rsidR="00CB4B38" w:rsidRDefault="00CB4B38" w:rsidP="00026CC3">
      <w:pPr>
        <w:spacing w:after="0" w:line="240" w:lineRule="auto"/>
        <w:ind w:firstLine="4502"/>
        <w:jc w:val="both"/>
        <w:rPr>
          <w:rFonts w:ascii="Arial" w:hAnsi="Arial" w:cs="Arial"/>
          <w:b/>
          <w:sz w:val="20"/>
          <w:szCs w:val="20"/>
        </w:rPr>
      </w:pPr>
      <w:r w:rsidRPr="00CB4B38">
        <w:rPr>
          <w:rFonts w:ascii="Arial" w:hAnsi="Arial" w:cs="Arial"/>
          <w:b/>
          <w:sz w:val="20"/>
          <w:szCs w:val="20"/>
        </w:rPr>
        <w:t>I</w:t>
      </w:r>
      <w:r>
        <w:rPr>
          <w:rFonts w:ascii="Arial" w:hAnsi="Arial" w:cs="Arial"/>
          <w:b/>
          <w:sz w:val="20"/>
          <w:szCs w:val="20"/>
        </w:rPr>
        <w:t xml:space="preserve"> –</w:t>
      </w:r>
      <w:r w:rsidRPr="00CB4B38">
        <w:rPr>
          <w:rFonts w:ascii="Arial" w:hAnsi="Arial" w:cs="Arial"/>
          <w:b/>
          <w:sz w:val="20"/>
          <w:szCs w:val="20"/>
        </w:rPr>
        <w:t xml:space="preserve"> </w:t>
      </w:r>
      <w:r w:rsidRPr="00CB4B38">
        <w:rPr>
          <w:rFonts w:ascii="Arial" w:hAnsi="Arial" w:cs="Arial"/>
          <w:sz w:val="20"/>
          <w:szCs w:val="20"/>
        </w:rPr>
        <w:t>Área de Armazenamento Classe I</w:t>
      </w:r>
      <w:r w:rsidR="00026CC3">
        <w:rPr>
          <w:rFonts w:ascii="Arial" w:hAnsi="Arial" w:cs="Arial"/>
          <w:sz w:val="20"/>
          <w:szCs w:val="20"/>
        </w:rPr>
        <w:t>:</w:t>
      </w:r>
    </w:p>
    <w:p w:rsidR="00726F3D" w:rsidRDefault="00726F3D" w:rsidP="00026CC3">
      <w:pPr>
        <w:spacing w:after="0" w:line="240" w:lineRule="auto"/>
        <w:ind w:firstLine="4502"/>
        <w:jc w:val="both"/>
        <w:rPr>
          <w:rFonts w:ascii="Arial" w:hAnsi="Arial" w:cs="Arial"/>
          <w:b/>
          <w:sz w:val="20"/>
          <w:szCs w:val="20"/>
        </w:rPr>
      </w:pPr>
    </w:p>
    <w:p w:rsidR="00CB4B38" w:rsidRPr="00CB4B38" w:rsidRDefault="00CB4B38" w:rsidP="00026CC3">
      <w:pPr>
        <w:spacing w:after="0" w:line="240" w:lineRule="auto"/>
        <w:ind w:firstLine="4502"/>
        <w:jc w:val="both"/>
        <w:rPr>
          <w:rFonts w:ascii="Arial" w:hAnsi="Arial" w:cs="Arial"/>
          <w:b/>
          <w:sz w:val="20"/>
          <w:szCs w:val="20"/>
        </w:rPr>
      </w:pPr>
      <w:r w:rsidRPr="00CB4B38">
        <w:rPr>
          <w:rFonts w:ascii="Arial" w:hAnsi="Arial" w:cs="Arial"/>
          <w:b/>
          <w:sz w:val="20"/>
          <w:szCs w:val="20"/>
        </w:rPr>
        <w:t>a)</w:t>
      </w:r>
      <w:r>
        <w:rPr>
          <w:rFonts w:ascii="Arial" w:hAnsi="Arial" w:cs="Arial"/>
          <w:b/>
          <w:sz w:val="20"/>
          <w:szCs w:val="20"/>
        </w:rPr>
        <w:t xml:space="preserve"> </w:t>
      </w:r>
      <w:r w:rsidRPr="00726F3D">
        <w:rPr>
          <w:rFonts w:ascii="Arial" w:hAnsi="Arial" w:cs="Arial"/>
          <w:sz w:val="20"/>
          <w:szCs w:val="20"/>
        </w:rPr>
        <w:t>Capacidade de armazenamento</w:t>
      </w:r>
      <w:r w:rsidR="00726F3D" w:rsidRPr="00726F3D">
        <w:rPr>
          <w:rFonts w:ascii="Arial" w:hAnsi="Arial" w:cs="Arial"/>
          <w:sz w:val="20"/>
          <w:szCs w:val="20"/>
        </w:rPr>
        <w:t xml:space="preserve"> – até 520kg de GLP;</w:t>
      </w:r>
    </w:p>
    <w:p w:rsidR="00034EB5" w:rsidRDefault="00726F3D" w:rsidP="00026CC3">
      <w:pPr>
        <w:spacing w:after="0" w:line="240" w:lineRule="auto"/>
        <w:ind w:firstLine="4502"/>
        <w:jc w:val="both"/>
        <w:rPr>
          <w:rFonts w:ascii="Arial" w:hAnsi="Arial" w:cs="Arial"/>
          <w:sz w:val="20"/>
          <w:szCs w:val="20"/>
        </w:rPr>
      </w:pPr>
      <w:r w:rsidRPr="00726F3D">
        <w:rPr>
          <w:rFonts w:ascii="Arial" w:hAnsi="Arial" w:cs="Arial"/>
          <w:b/>
          <w:sz w:val="20"/>
          <w:szCs w:val="20"/>
        </w:rPr>
        <w:t>b)</w:t>
      </w:r>
      <w:r>
        <w:rPr>
          <w:rFonts w:ascii="Arial" w:hAnsi="Arial" w:cs="Arial"/>
          <w:b/>
          <w:sz w:val="20"/>
          <w:szCs w:val="20"/>
        </w:rPr>
        <w:t xml:space="preserve"> </w:t>
      </w:r>
      <w:r w:rsidRPr="00726F3D">
        <w:rPr>
          <w:rFonts w:ascii="Arial" w:hAnsi="Arial" w:cs="Arial"/>
          <w:sz w:val="20"/>
          <w:szCs w:val="20"/>
        </w:rPr>
        <w:t>Área de armazenamento</w:t>
      </w:r>
      <w:r>
        <w:rPr>
          <w:rFonts w:ascii="Arial" w:hAnsi="Arial" w:cs="Arial"/>
          <w:sz w:val="20"/>
          <w:szCs w:val="20"/>
        </w:rPr>
        <w:t xml:space="preserve"> mínima de 4m²</w:t>
      </w:r>
      <w:r w:rsidR="00572538">
        <w:rPr>
          <w:rFonts w:ascii="Arial" w:hAnsi="Arial" w:cs="Arial"/>
          <w:sz w:val="20"/>
          <w:szCs w:val="20"/>
        </w:rPr>
        <w:t>.</w:t>
      </w:r>
    </w:p>
    <w:p w:rsidR="00726F3D" w:rsidRDefault="00726F3D" w:rsidP="00026CC3">
      <w:pPr>
        <w:spacing w:after="0" w:line="240" w:lineRule="auto"/>
        <w:ind w:firstLine="4502"/>
        <w:jc w:val="both"/>
        <w:rPr>
          <w:rFonts w:ascii="Arial" w:hAnsi="Arial" w:cs="Arial"/>
          <w:sz w:val="20"/>
          <w:szCs w:val="20"/>
        </w:rPr>
      </w:pPr>
    </w:p>
    <w:p w:rsidR="00726F3D" w:rsidRDefault="00726F3D" w:rsidP="00026CC3">
      <w:pPr>
        <w:spacing w:after="0" w:line="240" w:lineRule="auto"/>
        <w:ind w:firstLine="4502"/>
        <w:jc w:val="both"/>
        <w:rPr>
          <w:rFonts w:ascii="Arial" w:hAnsi="Arial" w:cs="Arial"/>
          <w:sz w:val="20"/>
          <w:szCs w:val="20"/>
        </w:rPr>
      </w:pPr>
      <w:r w:rsidRPr="00726F3D">
        <w:rPr>
          <w:rFonts w:ascii="Arial" w:hAnsi="Arial" w:cs="Arial"/>
          <w:b/>
          <w:sz w:val="20"/>
          <w:szCs w:val="20"/>
        </w:rPr>
        <w:t>II</w:t>
      </w:r>
      <w:r w:rsidR="00026CC3">
        <w:rPr>
          <w:rFonts w:ascii="Arial" w:hAnsi="Arial" w:cs="Arial"/>
          <w:b/>
          <w:sz w:val="20"/>
          <w:szCs w:val="20"/>
        </w:rPr>
        <w:t xml:space="preserve"> </w:t>
      </w:r>
      <w:r w:rsidRPr="00726F3D">
        <w:rPr>
          <w:rFonts w:ascii="Arial" w:hAnsi="Arial" w:cs="Arial"/>
          <w:b/>
          <w:sz w:val="20"/>
          <w:szCs w:val="20"/>
        </w:rPr>
        <w:t>-</w:t>
      </w:r>
      <w:r>
        <w:rPr>
          <w:rFonts w:ascii="Arial" w:hAnsi="Arial" w:cs="Arial"/>
          <w:sz w:val="20"/>
          <w:szCs w:val="20"/>
        </w:rPr>
        <w:t xml:space="preserve"> Área de Armazenamento Classe II:</w:t>
      </w:r>
    </w:p>
    <w:p w:rsidR="00726F3D" w:rsidRDefault="00726F3D" w:rsidP="00026CC3">
      <w:pPr>
        <w:spacing w:after="0" w:line="240" w:lineRule="auto"/>
        <w:ind w:firstLine="4502"/>
        <w:jc w:val="both"/>
        <w:rPr>
          <w:rFonts w:ascii="Arial" w:hAnsi="Arial" w:cs="Arial"/>
          <w:sz w:val="20"/>
          <w:szCs w:val="20"/>
        </w:rPr>
      </w:pPr>
    </w:p>
    <w:p w:rsidR="00726F3D" w:rsidRDefault="00726F3D" w:rsidP="00026CC3">
      <w:pPr>
        <w:spacing w:after="0" w:line="240" w:lineRule="auto"/>
        <w:ind w:firstLine="4502"/>
        <w:jc w:val="both"/>
        <w:rPr>
          <w:rFonts w:ascii="Arial" w:hAnsi="Arial" w:cs="Arial"/>
          <w:sz w:val="20"/>
          <w:szCs w:val="20"/>
        </w:rPr>
      </w:pPr>
      <w:r w:rsidRPr="00726F3D">
        <w:rPr>
          <w:rFonts w:ascii="Arial" w:hAnsi="Arial" w:cs="Arial"/>
          <w:b/>
          <w:sz w:val="20"/>
          <w:szCs w:val="20"/>
        </w:rPr>
        <w:t>a)</w:t>
      </w:r>
      <w:r>
        <w:rPr>
          <w:rFonts w:ascii="Arial" w:hAnsi="Arial" w:cs="Arial"/>
          <w:b/>
          <w:sz w:val="20"/>
          <w:szCs w:val="20"/>
        </w:rPr>
        <w:t xml:space="preserve"> </w:t>
      </w:r>
      <w:r w:rsidRPr="00726F3D">
        <w:rPr>
          <w:rFonts w:ascii="Arial" w:hAnsi="Arial" w:cs="Arial"/>
          <w:sz w:val="20"/>
          <w:szCs w:val="20"/>
        </w:rPr>
        <w:t>Capacidade</w:t>
      </w:r>
      <w:r>
        <w:rPr>
          <w:rFonts w:ascii="Arial" w:hAnsi="Arial" w:cs="Arial"/>
          <w:sz w:val="20"/>
          <w:szCs w:val="20"/>
        </w:rPr>
        <w:t xml:space="preserve"> de armazenamento – até 1.560kg de GLP;</w:t>
      </w:r>
    </w:p>
    <w:p w:rsidR="00726F3D" w:rsidRPr="00726F3D" w:rsidRDefault="00726F3D" w:rsidP="00026CC3">
      <w:pPr>
        <w:spacing w:after="0" w:line="240" w:lineRule="auto"/>
        <w:ind w:firstLine="4502"/>
        <w:jc w:val="both"/>
        <w:rPr>
          <w:rFonts w:ascii="Arial" w:hAnsi="Arial" w:cs="Arial"/>
          <w:sz w:val="20"/>
          <w:szCs w:val="20"/>
        </w:rPr>
      </w:pPr>
      <w:r>
        <w:rPr>
          <w:rFonts w:ascii="Arial" w:hAnsi="Arial" w:cs="Arial"/>
          <w:b/>
          <w:sz w:val="20"/>
          <w:szCs w:val="20"/>
        </w:rPr>
        <w:t xml:space="preserve">b) </w:t>
      </w:r>
      <w:r w:rsidRPr="00726F3D">
        <w:rPr>
          <w:rFonts w:ascii="Arial" w:hAnsi="Arial" w:cs="Arial"/>
          <w:sz w:val="20"/>
          <w:szCs w:val="20"/>
        </w:rPr>
        <w:t>Área de armazenamento- mínima de 8m²</w:t>
      </w:r>
      <w:r w:rsidR="00572538">
        <w:rPr>
          <w:rFonts w:ascii="Arial" w:hAnsi="Arial" w:cs="Arial"/>
          <w:sz w:val="20"/>
          <w:szCs w:val="20"/>
        </w:rPr>
        <w:t>.</w:t>
      </w:r>
    </w:p>
    <w:p w:rsidR="00726F3D" w:rsidRPr="00726F3D" w:rsidRDefault="00726F3D" w:rsidP="00026CC3">
      <w:pPr>
        <w:spacing w:after="0" w:line="240" w:lineRule="auto"/>
        <w:ind w:firstLine="4502"/>
        <w:jc w:val="both"/>
        <w:rPr>
          <w:rFonts w:ascii="Arial" w:hAnsi="Arial" w:cs="Arial"/>
          <w:sz w:val="20"/>
          <w:szCs w:val="20"/>
        </w:rPr>
      </w:pPr>
    </w:p>
    <w:p w:rsidR="00726F3D" w:rsidRDefault="00726F3D" w:rsidP="00026CC3">
      <w:pPr>
        <w:spacing w:after="0" w:line="240" w:lineRule="auto"/>
        <w:ind w:firstLine="4502"/>
        <w:jc w:val="both"/>
        <w:rPr>
          <w:rFonts w:ascii="Arial" w:hAnsi="Arial" w:cs="Arial"/>
          <w:b/>
          <w:sz w:val="20"/>
          <w:szCs w:val="20"/>
        </w:rPr>
      </w:pPr>
      <w:r w:rsidRPr="00726F3D">
        <w:rPr>
          <w:rFonts w:ascii="Arial" w:hAnsi="Arial" w:cs="Arial"/>
          <w:b/>
          <w:sz w:val="20"/>
          <w:szCs w:val="20"/>
        </w:rPr>
        <w:t xml:space="preserve">III </w:t>
      </w:r>
      <w:r>
        <w:rPr>
          <w:rFonts w:ascii="Arial" w:hAnsi="Arial" w:cs="Arial"/>
          <w:b/>
          <w:sz w:val="20"/>
          <w:szCs w:val="20"/>
        </w:rPr>
        <w:t xml:space="preserve">– </w:t>
      </w:r>
      <w:r w:rsidRPr="00726F3D">
        <w:rPr>
          <w:rFonts w:ascii="Arial" w:hAnsi="Arial" w:cs="Arial"/>
          <w:sz w:val="20"/>
          <w:szCs w:val="20"/>
        </w:rPr>
        <w:t>Área de Armazenamento Classe III:</w:t>
      </w:r>
    </w:p>
    <w:p w:rsidR="008774C1" w:rsidRDefault="008774C1" w:rsidP="00026CC3">
      <w:pPr>
        <w:spacing w:after="0" w:line="240" w:lineRule="auto"/>
        <w:ind w:firstLine="4502"/>
        <w:jc w:val="both"/>
        <w:rPr>
          <w:rFonts w:ascii="Arial" w:hAnsi="Arial" w:cs="Arial"/>
          <w:sz w:val="20"/>
          <w:szCs w:val="20"/>
        </w:rPr>
      </w:pPr>
      <w:r>
        <w:rPr>
          <w:rFonts w:ascii="Arial" w:hAnsi="Arial" w:cs="Arial"/>
          <w:sz w:val="20"/>
          <w:szCs w:val="20"/>
        </w:rPr>
        <w:t xml:space="preserve">                                                                                </w:t>
      </w:r>
    </w:p>
    <w:p w:rsidR="00726F3D" w:rsidRPr="008774C1" w:rsidRDefault="008B40D0" w:rsidP="00026CC3">
      <w:pPr>
        <w:spacing w:after="0" w:line="240" w:lineRule="auto"/>
        <w:ind w:firstLine="4502"/>
        <w:jc w:val="both"/>
        <w:rPr>
          <w:rFonts w:ascii="Arial" w:hAnsi="Arial" w:cs="Arial"/>
          <w:sz w:val="20"/>
          <w:szCs w:val="20"/>
        </w:rPr>
      </w:pPr>
      <w:r w:rsidRPr="00026CC3">
        <w:rPr>
          <w:rFonts w:ascii="Arial" w:hAnsi="Arial" w:cs="Arial"/>
          <w:b/>
          <w:sz w:val="20"/>
          <w:szCs w:val="20"/>
        </w:rPr>
        <w:t>a)</w:t>
      </w:r>
      <w:r>
        <w:rPr>
          <w:rFonts w:ascii="Arial" w:hAnsi="Arial" w:cs="Arial"/>
          <w:sz w:val="20"/>
          <w:szCs w:val="20"/>
        </w:rPr>
        <w:t xml:space="preserve"> </w:t>
      </w:r>
      <w:r w:rsidR="00726F3D" w:rsidRPr="008774C1">
        <w:rPr>
          <w:rFonts w:ascii="Arial" w:hAnsi="Arial" w:cs="Arial"/>
          <w:sz w:val="20"/>
          <w:szCs w:val="20"/>
        </w:rPr>
        <w:t>Capacidade de Armazenamento – até 6.240kg de GLP</w:t>
      </w:r>
      <w:r w:rsidR="00572538">
        <w:rPr>
          <w:rFonts w:ascii="Arial" w:hAnsi="Arial" w:cs="Arial"/>
          <w:sz w:val="20"/>
          <w:szCs w:val="20"/>
        </w:rPr>
        <w:t>.</w:t>
      </w:r>
    </w:p>
    <w:p w:rsidR="001B6361" w:rsidRDefault="001B6361" w:rsidP="00026CC3">
      <w:pPr>
        <w:spacing w:after="0" w:line="240" w:lineRule="auto"/>
        <w:ind w:firstLine="4502"/>
        <w:jc w:val="both"/>
        <w:rPr>
          <w:rFonts w:ascii="Arial" w:hAnsi="Arial" w:cs="Arial"/>
          <w:sz w:val="20"/>
          <w:szCs w:val="20"/>
        </w:rPr>
      </w:pPr>
    </w:p>
    <w:p w:rsidR="001B6361" w:rsidRDefault="001B6361" w:rsidP="00026CC3">
      <w:pPr>
        <w:spacing w:after="0" w:line="240" w:lineRule="auto"/>
        <w:ind w:firstLine="4502"/>
        <w:jc w:val="both"/>
        <w:rPr>
          <w:rFonts w:ascii="Arial" w:hAnsi="Arial" w:cs="Arial"/>
          <w:sz w:val="20"/>
          <w:szCs w:val="20"/>
        </w:rPr>
      </w:pPr>
      <w:r w:rsidRPr="00F04A98">
        <w:rPr>
          <w:rFonts w:ascii="Arial" w:hAnsi="Arial" w:cs="Arial"/>
          <w:b/>
          <w:sz w:val="20"/>
          <w:szCs w:val="20"/>
        </w:rPr>
        <w:t xml:space="preserve">IV </w:t>
      </w:r>
      <w:r w:rsidR="00F04A98" w:rsidRPr="00F04A98">
        <w:rPr>
          <w:rFonts w:ascii="Arial" w:hAnsi="Arial" w:cs="Arial"/>
          <w:b/>
          <w:sz w:val="20"/>
          <w:szCs w:val="20"/>
        </w:rPr>
        <w:t>-</w:t>
      </w:r>
      <w:r>
        <w:rPr>
          <w:rFonts w:ascii="Arial" w:hAnsi="Arial" w:cs="Arial"/>
          <w:sz w:val="20"/>
          <w:szCs w:val="20"/>
        </w:rPr>
        <w:t xml:space="preserve"> Área de Armazenamento Classe IV</w:t>
      </w:r>
      <w:r w:rsidR="00F04A98">
        <w:rPr>
          <w:rFonts w:ascii="Arial" w:hAnsi="Arial" w:cs="Arial"/>
          <w:sz w:val="20"/>
          <w:szCs w:val="20"/>
        </w:rPr>
        <w:t>:</w:t>
      </w:r>
    </w:p>
    <w:p w:rsidR="00726F3D" w:rsidRDefault="00726F3D" w:rsidP="00026CC3">
      <w:pPr>
        <w:spacing w:after="0" w:line="240" w:lineRule="auto"/>
        <w:ind w:firstLine="4502"/>
        <w:jc w:val="both"/>
        <w:rPr>
          <w:rFonts w:ascii="Arial" w:hAnsi="Arial" w:cs="Arial"/>
          <w:sz w:val="20"/>
          <w:szCs w:val="20"/>
        </w:rPr>
      </w:pPr>
    </w:p>
    <w:p w:rsidR="00E5419C" w:rsidRDefault="00D136B7" w:rsidP="00026CC3">
      <w:pPr>
        <w:spacing w:after="0" w:line="240" w:lineRule="auto"/>
        <w:ind w:firstLine="4502"/>
        <w:jc w:val="both"/>
        <w:rPr>
          <w:rFonts w:ascii="Arial" w:hAnsi="Arial" w:cs="Arial"/>
          <w:sz w:val="20"/>
          <w:szCs w:val="20"/>
        </w:rPr>
      </w:pPr>
      <w:r w:rsidRPr="00D136B7">
        <w:rPr>
          <w:rFonts w:ascii="Arial" w:hAnsi="Arial" w:cs="Arial"/>
          <w:b/>
          <w:sz w:val="20"/>
          <w:szCs w:val="20"/>
        </w:rPr>
        <w:t>a)</w:t>
      </w:r>
      <w:r>
        <w:rPr>
          <w:rFonts w:ascii="Arial" w:hAnsi="Arial" w:cs="Arial"/>
          <w:sz w:val="20"/>
          <w:szCs w:val="20"/>
        </w:rPr>
        <w:t xml:space="preserve"> </w:t>
      </w:r>
      <w:r w:rsidR="00E5419C" w:rsidRPr="00D136B7">
        <w:rPr>
          <w:rFonts w:ascii="Arial" w:hAnsi="Arial" w:cs="Arial"/>
          <w:sz w:val="20"/>
          <w:szCs w:val="20"/>
        </w:rPr>
        <w:t>Capacidade de Armazenamento – até 24.960kg de GLP</w:t>
      </w:r>
      <w:r w:rsidRPr="00D136B7">
        <w:rPr>
          <w:rFonts w:ascii="Arial" w:hAnsi="Arial" w:cs="Arial"/>
          <w:sz w:val="20"/>
          <w:szCs w:val="20"/>
        </w:rPr>
        <w:t>.</w:t>
      </w:r>
    </w:p>
    <w:p w:rsidR="008774C1" w:rsidRPr="00D136B7" w:rsidRDefault="008774C1" w:rsidP="00026CC3">
      <w:pPr>
        <w:spacing w:after="0" w:line="240" w:lineRule="auto"/>
        <w:ind w:firstLine="4502"/>
        <w:jc w:val="both"/>
        <w:rPr>
          <w:rFonts w:ascii="Arial" w:hAnsi="Arial" w:cs="Arial"/>
          <w:sz w:val="20"/>
          <w:szCs w:val="20"/>
        </w:rPr>
      </w:pPr>
      <w:r>
        <w:rPr>
          <w:rFonts w:ascii="Arial" w:hAnsi="Arial" w:cs="Arial"/>
          <w:sz w:val="20"/>
          <w:szCs w:val="20"/>
        </w:rPr>
        <w:t xml:space="preserve">                                                                                 </w:t>
      </w:r>
    </w:p>
    <w:p w:rsidR="008774C1" w:rsidRPr="00026CC3" w:rsidRDefault="008774C1" w:rsidP="00026CC3">
      <w:pPr>
        <w:spacing w:after="0" w:line="240" w:lineRule="auto"/>
        <w:ind w:firstLine="4502"/>
        <w:jc w:val="both"/>
        <w:rPr>
          <w:rFonts w:ascii="Arial" w:hAnsi="Arial" w:cs="Arial"/>
          <w:b/>
          <w:sz w:val="20"/>
          <w:szCs w:val="20"/>
        </w:rPr>
      </w:pPr>
      <w:r w:rsidRPr="00026CC3">
        <w:rPr>
          <w:rFonts w:ascii="Arial" w:hAnsi="Arial" w:cs="Arial"/>
          <w:b/>
          <w:sz w:val="20"/>
          <w:szCs w:val="20"/>
        </w:rPr>
        <w:t xml:space="preserve">V – </w:t>
      </w:r>
      <w:r w:rsidRPr="00026CC3">
        <w:rPr>
          <w:rFonts w:ascii="Arial" w:hAnsi="Arial" w:cs="Arial"/>
          <w:sz w:val="20"/>
          <w:szCs w:val="20"/>
        </w:rPr>
        <w:t>Área de Armazenamento Class</w:t>
      </w:r>
      <w:r w:rsidR="00026CC3" w:rsidRPr="00026CC3">
        <w:rPr>
          <w:rFonts w:ascii="Arial" w:hAnsi="Arial" w:cs="Arial"/>
          <w:sz w:val="20"/>
          <w:szCs w:val="20"/>
        </w:rPr>
        <w:t>e V:</w:t>
      </w:r>
      <w:r w:rsidR="00D136B7" w:rsidRPr="00026CC3">
        <w:rPr>
          <w:rFonts w:ascii="Arial" w:hAnsi="Arial" w:cs="Arial"/>
          <w:b/>
          <w:sz w:val="20"/>
          <w:szCs w:val="20"/>
        </w:rPr>
        <w:t xml:space="preserve">          </w:t>
      </w:r>
    </w:p>
    <w:p w:rsidR="00026CC3" w:rsidRDefault="00026CC3" w:rsidP="00026CC3">
      <w:pPr>
        <w:spacing w:after="0" w:line="240" w:lineRule="auto"/>
        <w:ind w:firstLine="4502"/>
        <w:jc w:val="both"/>
        <w:rPr>
          <w:rFonts w:ascii="Arial" w:hAnsi="Arial" w:cs="Arial"/>
          <w:b/>
          <w:sz w:val="20"/>
          <w:szCs w:val="20"/>
        </w:rPr>
      </w:pPr>
    </w:p>
    <w:p w:rsidR="00DF6EE6" w:rsidRPr="00026CC3" w:rsidRDefault="00026CC3" w:rsidP="00026CC3">
      <w:pPr>
        <w:spacing w:after="0" w:line="240" w:lineRule="auto"/>
        <w:ind w:firstLine="4502"/>
        <w:jc w:val="both"/>
        <w:rPr>
          <w:rFonts w:ascii="Arial" w:hAnsi="Arial" w:cs="Arial"/>
          <w:sz w:val="20"/>
          <w:szCs w:val="20"/>
        </w:rPr>
      </w:pPr>
      <w:r w:rsidRPr="00026CC3">
        <w:rPr>
          <w:rFonts w:ascii="Arial" w:hAnsi="Arial" w:cs="Arial"/>
          <w:b/>
          <w:sz w:val="20"/>
          <w:szCs w:val="20"/>
        </w:rPr>
        <w:t>a)</w:t>
      </w:r>
      <w:r>
        <w:rPr>
          <w:rFonts w:ascii="Arial" w:hAnsi="Arial" w:cs="Arial"/>
          <w:sz w:val="20"/>
          <w:szCs w:val="20"/>
        </w:rPr>
        <w:t xml:space="preserve"> </w:t>
      </w:r>
      <w:r w:rsidR="00E249BB" w:rsidRPr="00026CC3">
        <w:rPr>
          <w:rFonts w:ascii="Arial" w:hAnsi="Arial" w:cs="Arial"/>
          <w:sz w:val="20"/>
          <w:szCs w:val="20"/>
        </w:rPr>
        <w:t>Capacidade de Armazenamento – até 49.920kg de GLP.</w:t>
      </w:r>
    </w:p>
    <w:p w:rsidR="00026CC3" w:rsidRDefault="00026CC3" w:rsidP="00026CC3">
      <w:pPr>
        <w:spacing w:after="0" w:line="240" w:lineRule="auto"/>
        <w:ind w:firstLine="4502"/>
        <w:jc w:val="both"/>
        <w:rPr>
          <w:rFonts w:ascii="Arial" w:hAnsi="Arial" w:cs="Arial"/>
          <w:b/>
          <w:sz w:val="20"/>
          <w:szCs w:val="20"/>
        </w:rPr>
      </w:pPr>
    </w:p>
    <w:p w:rsidR="00E249BB" w:rsidRDefault="00E249BB" w:rsidP="00026CC3">
      <w:pPr>
        <w:spacing w:after="0" w:line="240" w:lineRule="auto"/>
        <w:ind w:firstLine="4502"/>
        <w:jc w:val="both"/>
        <w:rPr>
          <w:rFonts w:ascii="Arial" w:hAnsi="Arial" w:cs="Arial"/>
          <w:sz w:val="20"/>
          <w:szCs w:val="20"/>
        </w:rPr>
      </w:pPr>
      <w:r w:rsidRPr="00E249BB">
        <w:rPr>
          <w:rFonts w:ascii="Arial" w:hAnsi="Arial" w:cs="Arial"/>
          <w:b/>
          <w:sz w:val="20"/>
          <w:szCs w:val="20"/>
        </w:rPr>
        <w:t>VI –</w:t>
      </w:r>
      <w:r>
        <w:rPr>
          <w:rFonts w:ascii="Arial" w:hAnsi="Arial" w:cs="Arial"/>
          <w:sz w:val="20"/>
          <w:szCs w:val="20"/>
        </w:rPr>
        <w:t xml:space="preserve"> Área de armazenamento Classe VI:</w:t>
      </w:r>
    </w:p>
    <w:p w:rsidR="00026CC3" w:rsidRDefault="00026CC3" w:rsidP="00026CC3">
      <w:pPr>
        <w:spacing w:after="0" w:line="240" w:lineRule="auto"/>
        <w:ind w:firstLine="4502"/>
        <w:jc w:val="both"/>
        <w:rPr>
          <w:rFonts w:ascii="Arial" w:hAnsi="Arial" w:cs="Arial"/>
          <w:b/>
          <w:sz w:val="20"/>
          <w:szCs w:val="20"/>
        </w:rPr>
      </w:pPr>
    </w:p>
    <w:p w:rsidR="00E249BB" w:rsidRDefault="00E249BB" w:rsidP="00026CC3">
      <w:pPr>
        <w:spacing w:after="0" w:line="240" w:lineRule="auto"/>
        <w:ind w:firstLine="4502"/>
        <w:jc w:val="both"/>
        <w:rPr>
          <w:rFonts w:ascii="Arial" w:hAnsi="Arial" w:cs="Arial"/>
          <w:sz w:val="20"/>
          <w:szCs w:val="20"/>
        </w:rPr>
      </w:pPr>
      <w:r w:rsidRPr="00E249BB">
        <w:rPr>
          <w:rFonts w:ascii="Arial" w:hAnsi="Arial" w:cs="Arial"/>
          <w:b/>
          <w:sz w:val="20"/>
          <w:szCs w:val="20"/>
        </w:rPr>
        <w:t>a)</w:t>
      </w:r>
      <w:r>
        <w:rPr>
          <w:rFonts w:ascii="Arial" w:hAnsi="Arial" w:cs="Arial"/>
          <w:sz w:val="20"/>
          <w:szCs w:val="20"/>
        </w:rPr>
        <w:t xml:space="preserve">  Capacidade de Armazenamento – superior a 99.840kg de GLP.</w:t>
      </w:r>
    </w:p>
    <w:p w:rsidR="00026CC3" w:rsidRDefault="00026CC3" w:rsidP="00026CC3">
      <w:pPr>
        <w:spacing w:after="0" w:line="240" w:lineRule="auto"/>
        <w:ind w:firstLine="4502"/>
        <w:jc w:val="both"/>
        <w:rPr>
          <w:rFonts w:ascii="Arial" w:hAnsi="Arial" w:cs="Arial"/>
          <w:b/>
          <w:sz w:val="20"/>
          <w:szCs w:val="20"/>
        </w:rPr>
      </w:pPr>
    </w:p>
    <w:p w:rsidR="00E249BB" w:rsidRDefault="00E249BB" w:rsidP="00026CC3">
      <w:pPr>
        <w:spacing w:after="0" w:line="240" w:lineRule="auto"/>
        <w:ind w:firstLine="4502"/>
        <w:jc w:val="both"/>
        <w:rPr>
          <w:rFonts w:ascii="Arial" w:hAnsi="Arial" w:cs="Arial"/>
          <w:sz w:val="20"/>
          <w:szCs w:val="20"/>
        </w:rPr>
      </w:pPr>
      <w:r w:rsidRPr="00E249BB">
        <w:rPr>
          <w:rFonts w:ascii="Arial" w:hAnsi="Arial" w:cs="Arial"/>
          <w:b/>
          <w:sz w:val="20"/>
          <w:szCs w:val="20"/>
        </w:rPr>
        <w:t>VII –</w:t>
      </w:r>
      <w:r>
        <w:rPr>
          <w:rFonts w:ascii="Arial" w:hAnsi="Arial" w:cs="Arial"/>
          <w:sz w:val="20"/>
          <w:szCs w:val="20"/>
        </w:rPr>
        <w:t xml:space="preserve"> Área de Armazenamento Especial:</w:t>
      </w:r>
    </w:p>
    <w:p w:rsidR="00026CC3" w:rsidRDefault="00026CC3" w:rsidP="00026CC3">
      <w:pPr>
        <w:spacing w:after="0" w:line="240" w:lineRule="auto"/>
        <w:ind w:firstLine="4502"/>
        <w:jc w:val="both"/>
        <w:rPr>
          <w:rFonts w:ascii="Arial" w:hAnsi="Arial" w:cs="Arial"/>
          <w:b/>
          <w:sz w:val="20"/>
          <w:szCs w:val="20"/>
        </w:rPr>
      </w:pPr>
    </w:p>
    <w:p w:rsidR="00E249BB" w:rsidRPr="00E249BB" w:rsidRDefault="00E249BB" w:rsidP="00026CC3">
      <w:pPr>
        <w:spacing w:after="0" w:line="240" w:lineRule="auto"/>
        <w:ind w:firstLine="4502"/>
        <w:jc w:val="both"/>
        <w:rPr>
          <w:rFonts w:ascii="Arial" w:hAnsi="Arial" w:cs="Arial"/>
          <w:b/>
          <w:sz w:val="20"/>
          <w:szCs w:val="20"/>
        </w:rPr>
      </w:pPr>
      <w:r w:rsidRPr="00E249BB">
        <w:rPr>
          <w:rFonts w:ascii="Arial" w:hAnsi="Arial" w:cs="Arial"/>
          <w:b/>
          <w:sz w:val="20"/>
          <w:szCs w:val="20"/>
        </w:rPr>
        <w:t xml:space="preserve">a)  </w:t>
      </w:r>
      <w:r w:rsidRPr="00E249BB">
        <w:rPr>
          <w:rFonts w:ascii="Arial" w:hAnsi="Arial" w:cs="Arial"/>
          <w:sz w:val="20"/>
          <w:szCs w:val="20"/>
        </w:rPr>
        <w:t>Capacidade</w:t>
      </w:r>
      <w:r>
        <w:rPr>
          <w:rFonts w:ascii="Arial" w:hAnsi="Arial" w:cs="Arial"/>
          <w:sz w:val="20"/>
          <w:szCs w:val="20"/>
        </w:rPr>
        <w:t xml:space="preserve"> de armazenamento</w:t>
      </w:r>
      <w:r w:rsidR="00675B78">
        <w:rPr>
          <w:rFonts w:ascii="Arial" w:hAnsi="Arial" w:cs="Arial"/>
          <w:sz w:val="20"/>
          <w:szCs w:val="20"/>
        </w:rPr>
        <w:t xml:space="preserve"> – superior a 99.840kg de GLP</w:t>
      </w:r>
      <w:r w:rsidR="00572538">
        <w:rPr>
          <w:rFonts w:ascii="Arial" w:hAnsi="Arial" w:cs="Arial"/>
          <w:sz w:val="20"/>
          <w:szCs w:val="20"/>
        </w:rPr>
        <w:t>;</w:t>
      </w:r>
    </w:p>
    <w:p w:rsidR="00E249BB" w:rsidRDefault="00675B78" w:rsidP="00026CC3">
      <w:pPr>
        <w:spacing w:after="0" w:line="240" w:lineRule="auto"/>
        <w:ind w:firstLine="4502"/>
        <w:jc w:val="both"/>
        <w:rPr>
          <w:rFonts w:ascii="Arial" w:hAnsi="Arial" w:cs="Arial"/>
          <w:sz w:val="20"/>
          <w:szCs w:val="20"/>
        </w:rPr>
      </w:pPr>
      <w:r w:rsidRPr="00675B78">
        <w:rPr>
          <w:rFonts w:ascii="Arial" w:hAnsi="Arial" w:cs="Arial"/>
          <w:b/>
          <w:sz w:val="20"/>
          <w:szCs w:val="20"/>
        </w:rPr>
        <w:t>b</w:t>
      </w:r>
      <w:r w:rsidRPr="00675B78">
        <w:rPr>
          <w:rFonts w:ascii="Arial" w:hAnsi="Arial" w:cs="Arial"/>
          <w:sz w:val="20"/>
          <w:szCs w:val="20"/>
        </w:rPr>
        <w:t xml:space="preserve">) Área de armazenamento- admissível somente em bases de GLP, conforme normas a serem indicadas pelo Departamento Nacional de Combustíveis </w:t>
      </w:r>
      <w:r>
        <w:rPr>
          <w:rFonts w:ascii="Arial" w:hAnsi="Arial" w:cs="Arial"/>
          <w:sz w:val="20"/>
          <w:szCs w:val="20"/>
        </w:rPr>
        <w:t>–</w:t>
      </w:r>
      <w:r w:rsidRPr="00675B78">
        <w:rPr>
          <w:rFonts w:ascii="Arial" w:hAnsi="Arial" w:cs="Arial"/>
          <w:sz w:val="20"/>
          <w:szCs w:val="20"/>
        </w:rPr>
        <w:t xml:space="preserve"> DNC</w:t>
      </w:r>
      <w:r>
        <w:rPr>
          <w:rFonts w:ascii="Arial" w:hAnsi="Arial" w:cs="Arial"/>
          <w:sz w:val="20"/>
          <w:szCs w:val="20"/>
        </w:rPr>
        <w:t>.</w:t>
      </w:r>
    </w:p>
    <w:p w:rsidR="00026CC3" w:rsidRDefault="00026CC3" w:rsidP="00026CC3">
      <w:pPr>
        <w:spacing w:after="0" w:line="240" w:lineRule="auto"/>
        <w:ind w:firstLine="4502"/>
        <w:jc w:val="both"/>
        <w:rPr>
          <w:rFonts w:ascii="Arial" w:hAnsi="Arial" w:cs="Arial"/>
          <w:b/>
          <w:sz w:val="20"/>
          <w:szCs w:val="20"/>
        </w:rPr>
      </w:pPr>
    </w:p>
    <w:p w:rsidR="00675B78" w:rsidRDefault="00675B78" w:rsidP="00026CC3">
      <w:pPr>
        <w:spacing w:after="0" w:line="240" w:lineRule="auto"/>
        <w:ind w:firstLine="4502"/>
        <w:jc w:val="both"/>
        <w:rPr>
          <w:rFonts w:ascii="Arial" w:hAnsi="Arial" w:cs="Arial"/>
          <w:sz w:val="20"/>
          <w:szCs w:val="20"/>
        </w:rPr>
      </w:pPr>
      <w:r w:rsidRPr="00675B78">
        <w:rPr>
          <w:rFonts w:ascii="Arial" w:hAnsi="Arial" w:cs="Arial"/>
          <w:b/>
          <w:sz w:val="20"/>
          <w:szCs w:val="20"/>
        </w:rPr>
        <w:t>§ 1°</w:t>
      </w:r>
      <w:r>
        <w:rPr>
          <w:rFonts w:ascii="Arial" w:hAnsi="Arial" w:cs="Arial"/>
          <w:sz w:val="20"/>
          <w:szCs w:val="20"/>
        </w:rPr>
        <w:t xml:space="preserve"> No caso de botijões (13kg) a área de armazenamento classe I poderá receber até 40 (quarenta) recipientes transportáveis de GLP, cheios, parcialmente utilizados ou vazios.</w:t>
      </w:r>
    </w:p>
    <w:p w:rsidR="00026CC3" w:rsidRDefault="00026CC3" w:rsidP="00026CC3">
      <w:pPr>
        <w:spacing w:after="0" w:line="240" w:lineRule="auto"/>
        <w:ind w:firstLine="4502"/>
        <w:jc w:val="both"/>
        <w:rPr>
          <w:rFonts w:ascii="Arial" w:hAnsi="Arial" w:cs="Arial"/>
          <w:b/>
          <w:sz w:val="20"/>
          <w:szCs w:val="20"/>
        </w:rPr>
      </w:pPr>
    </w:p>
    <w:p w:rsidR="00675B78" w:rsidRDefault="00675B78" w:rsidP="00026CC3">
      <w:pPr>
        <w:spacing w:after="0" w:line="240" w:lineRule="auto"/>
        <w:ind w:firstLine="4502"/>
        <w:jc w:val="both"/>
        <w:rPr>
          <w:rFonts w:ascii="Arial" w:hAnsi="Arial" w:cs="Arial"/>
          <w:sz w:val="20"/>
          <w:szCs w:val="20"/>
        </w:rPr>
      </w:pPr>
      <w:r w:rsidRPr="00675B78">
        <w:rPr>
          <w:rFonts w:ascii="Arial" w:hAnsi="Arial" w:cs="Arial"/>
          <w:b/>
          <w:sz w:val="20"/>
          <w:szCs w:val="20"/>
        </w:rPr>
        <w:t>§ 2°</w:t>
      </w:r>
      <w:r>
        <w:rPr>
          <w:rFonts w:ascii="Arial" w:hAnsi="Arial" w:cs="Arial"/>
          <w:sz w:val="20"/>
          <w:szCs w:val="20"/>
        </w:rPr>
        <w:t xml:space="preserve"> No caso de botijões (13kg) a área de armazenamento classe II poderá receber até 120(cento e vinte) recipientes transportáveis de GLP, cheios, parcialmente utilizados ou vazios.</w:t>
      </w:r>
    </w:p>
    <w:p w:rsidR="00026CC3" w:rsidRDefault="00026CC3" w:rsidP="00026CC3">
      <w:pPr>
        <w:spacing w:after="0" w:line="240" w:lineRule="auto"/>
        <w:ind w:firstLine="4502"/>
        <w:jc w:val="both"/>
        <w:rPr>
          <w:rFonts w:ascii="Arial" w:hAnsi="Arial" w:cs="Arial"/>
          <w:b/>
          <w:sz w:val="20"/>
          <w:szCs w:val="20"/>
        </w:rPr>
      </w:pPr>
    </w:p>
    <w:p w:rsidR="00675B78" w:rsidRDefault="00675B78" w:rsidP="00026CC3">
      <w:pPr>
        <w:spacing w:after="0" w:line="240" w:lineRule="auto"/>
        <w:ind w:firstLine="4502"/>
        <w:jc w:val="both"/>
        <w:rPr>
          <w:rFonts w:ascii="Arial" w:hAnsi="Arial" w:cs="Arial"/>
          <w:sz w:val="20"/>
          <w:szCs w:val="20"/>
        </w:rPr>
      </w:pPr>
      <w:r w:rsidRPr="0059773E">
        <w:rPr>
          <w:rFonts w:ascii="Arial" w:hAnsi="Arial" w:cs="Arial"/>
          <w:b/>
          <w:sz w:val="20"/>
          <w:szCs w:val="20"/>
        </w:rPr>
        <w:t>§ 3º</w:t>
      </w:r>
      <w:r>
        <w:rPr>
          <w:rFonts w:ascii="Arial" w:hAnsi="Arial" w:cs="Arial"/>
          <w:sz w:val="20"/>
          <w:szCs w:val="20"/>
        </w:rPr>
        <w:t xml:space="preserve"> No caso de botijões</w:t>
      </w:r>
      <w:r w:rsidR="0059773E">
        <w:rPr>
          <w:rFonts w:ascii="Arial" w:hAnsi="Arial" w:cs="Arial"/>
          <w:sz w:val="20"/>
          <w:szCs w:val="20"/>
        </w:rPr>
        <w:t xml:space="preserve"> (13kg) a área de armazenamento classe III poderá receber até 480 (quatrocentos e oitenta) recipientes transportáveis de GLP, cheios, parcialmente utilizados ou vazios</w:t>
      </w:r>
      <w:r w:rsidR="00D10022">
        <w:rPr>
          <w:rFonts w:ascii="Arial" w:hAnsi="Arial" w:cs="Arial"/>
          <w:sz w:val="20"/>
          <w:szCs w:val="20"/>
        </w:rPr>
        <w:t>.</w:t>
      </w:r>
    </w:p>
    <w:p w:rsidR="00026CC3" w:rsidRDefault="00026CC3" w:rsidP="00026CC3">
      <w:pPr>
        <w:spacing w:after="0" w:line="240" w:lineRule="auto"/>
        <w:ind w:firstLine="4502"/>
        <w:jc w:val="both"/>
        <w:rPr>
          <w:rFonts w:ascii="Arial" w:hAnsi="Arial" w:cs="Arial"/>
          <w:b/>
          <w:sz w:val="20"/>
          <w:szCs w:val="20"/>
        </w:rPr>
      </w:pPr>
    </w:p>
    <w:p w:rsidR="00D10022" w:rsidRDefault="00D10022" w:rsidP="00026CC3">
      <w:pPr>
        <w:spacing w:after="0" w:line="240" w:lineRule="auto"/>
        <w:ind w:firstLine="4502"/>
        <w:jc w:val="both"/>
        <w:rPr>
          <w:rFonts w:ascii="Arial" w:hAnsi="Arial" w:cs="Arial"/>
          <w:sz w:val="20"/>
          <w:szCs w:val="20"/>
        </w:rPr>
      </w:pPr>
      <w:r w:rsidRPr="00D10022">
        <w:rPr>
          <w:rFonts w:ascii="Arial" w:hAnsi="Arial" w:cs="Arial"/>
          <w:b/>
          <w:sz w:val="20"/>
          <w:szCs w:val="20"/>
        </w:rPr>
        <w:t>§ 4°</w:t>
      </w:r>
      <w:r>
        <w:rPr>
          <w:rFonts w:ascii="Arial" w:hAnsi="Arial" w:cs="Arial"/>
          <w:sz w:val="20"/>
          <w:szCs w:val="20"/>
        </w:rPr>
        <w:t xml:space="preserve"> No caso de botijões (13kg), a área de armazenamento classe IV poderá receber até 1.920 (mil, novecentos e vinte) recipientes transportáveis de GLP, cheios, parcialmente utilizados ou vazios, dispostos em lotes de até 480 botijões.</w:t>
      </w:r>
    </w:p>
    <w:p w:rsidR="00026CC3" w:rsidRDefault="00026CC3" w:rsidP="00026CC3">
      <w:pPr>
        <w:spacing w:after="0" w:line="240" w:lineRule="auto"/>
        <w:ind w:firstLine="4502"/>
        <w:jc w:val="both"/>
        <w:rPr>
          <w:rFonts w:ascii="Arial" w:hAnsi="Arial" w:cs="Arial"/>
          <w:b/>
          <w:sz w:val="20"/>
          <w:szCs w:val="20"/>
        </w:rPr>
      </w:pPr>
    </w:p>
    <w:p w:rsidR="00D10022" w:rsidRDefault="00D10022" w:rsidP="00026CC3">
      <w:pPr>
        <w:spacing w:after="0" w:line="240" w:lineRule="auto"/>
        <w:ind w:firstLine="4502"/>
        <w:jc w:val="both"/>
        <w:rPr>
          <w:rFonts w:ascii="Arial" w:hAnsi="Arial" w:cs="Arial"/>
          <w:sz w:val="20"/>
          <w:szCs w:val="20"/>
        </w:rPr>
      </w:pPr>
      <w:r w:rsidRPr="00D10022">
        <w:rPr>
          <w:rFonts w:ascii="Arial" w:hAnsi="Arial" w:cs="Arial"/>
          <w:b/>
          <w:sz w:val="20"/>
          <w:szCs w:val="20"/>
        </w:rPr>
        <w:t>§ 5°</w:t>
      </w:r>
      <w:r>
        <w:rPr>
          <w:rFonts w:ascii="Arial" w:hAnsi="Arial" w:cs="Arial"/>
          <w:sz w:val="20"/>
          <w:szCs w:val="20"/>
        </w:rPr>
        <w:t xml:space="preserve"> No caso de botijões (13kg), a área de armazenamento classe V poderá receber até 3.840 (três mil, oitocentos e quarenta) recipientes, cheios, parcialmente utilizados ou vazios, dispostos em lotes de até 480 botijões.</w:t>
      </w:r>
    </w:p>
    <w:p w:rsidR="00026CC3" w:rsidRDefault="00026CC3" w:rsidP="00026CC3">
      <w:pPr>
        <w:spacing w:after="0" w:line="240" w:lineRule="auto"/>
        <w:ind w:firstLine="4502"/>
        <w:jc w:val="both"/>
        <w:rPr>
          <w:rFonts w:ascii="Arial" w:hAnsi="Arial" w:cs="Arial"/>
          <w:b/>
          <w:sz w:val="20"/>
          <w:szCs w:val="20"/>
        </w:rPr>
      </w:pPr>
    </w:p>
    <w:p w:rsidR="00D10022" w:rsidRDefault="00D10022" w:rsidP="00026CC3">
      <w:pPr>
        <w:spacing w:after="0" w:line="240" w:lineRule="auto"/>
        <w:ind w:firstLine="4502"/>
        <w:jc w:val="both"/>
        <w:rPr>
          <w:rFonts w:ascii="Arial" w:hAnsi="Arial" w:cs="Arial"/>
          <w:sz w:val="20"/>
          <w:szCs w:val="20"/>
        </w:rPr>
      </w:pPr>
      <w:r w:rsidRPr="00D10022">
        <w:rPr>
          <w:rFonts w:ascii="Arial" w:hAnsi="Arial" w:cs="Arial"/>
          <w:b/>
          <w:sz w:val="20"/>
          <w:szCs w:val="20"/>
        </w:rPr>
        <w:t>§ 6°</w:t>
      </w:r>
      <w:r>
        <w:rPr>
          <w:rFonts w:ascii="Arial" w:hAnsi="Arial" w:cs="Arial"/>
          <w:b/>
          <w:sz w:val="20"/>
          <w:szCs w:val="20"/>
        </w:rPr>
        <w:t xml:space="preserve"> </w:t>
      </w:r>
      <w:r w:rsidRPr="00D10022">
        <w:rPr>
          <w:rFonts w:ascii="Arial" w:hAnsi="Arial" w:cs="Arial"/>
          <w:sz w:val="20"/>
          <w:szCs w:val="20"/>
        </w:rPr>
        <w:t>No caso de botijões</w:t>
      </w:r>
      <w:r>
        <w:rPr>
          <w:rFonts w:ascii="Arial" w:hAnsi="Arial" w:cs="Arial"/>
          <w:sz w:val="20"/>
          <w:szCs w:val="20"/>
        </w:rPr>
        <w:t xml:space="preserve"> (13kg), a área de armazenamento classe VI poderá receber até 7.680 (sete mil, seiscentos e oitenta) recipientes, cheios, parcialmente utilizados ou vazios, dispostos em lotes de 480 botijões.</w:t>
      </w:r>
    </w:p>
    <w:p w:rsidR="00026CC3" w:rsidRDefault="00026CC3" w:rsidP="00026CC3">
      <w:pPr>
        <w:spacing w:after="0" w:line="240" w:lineRule="auto"/>
        <w:ind w:firstLine="4502"/>
        <w:jc w:val="both"/>
        <w:rPr>
          <w:rFonts w:ascii="Arial" w:hAnsi="Arial" w:cs="Arial"/>
          <w:b/>
          <w:sz w:val="20"/>
          <w:szCs w:val="20"/>
        </w:rPr>
      </w:pPr>
    </w:p>
    <w:p w:rsidR="00D10022" w:rsidRDefault="00D10022" w:rsidP="00026CC3">
      <w:pPr>
        <w:spacing w:after="0" w:line="240" w:lineRule="auto"/>
        <w:ind w:firstLine="4502"/>
        <w:jc w:val="both"/>
        <w:rPr>
          <w:rFonts w:ascii="Arial" w:hAnsi="Arial" w:cs="Arial"/>
          <w:sz w:val="20"/>
          <w:szCs w:val="20"/>
        </w:rPr>
      </w:pPr>
      <w:r w:rsidRPr="00D70032">
        <w:rPr>
          <w:rFonts w:ascii="Arial" w:hAnsi="Arial" w:cs="Arial"/>
          <w:b/>
          <w:sz w:val="20"/>
          <w:szCs w:val="20"/>
        </w:rPr>
        <w:t>§ 7°</w:t>
      </w:r>
      <w:r>
        <w:rPr>
          <w:rFonts w:ascii="Arial" w:hAnsi="Arial" w:cs="Arial"/>
          <w:sz w:val="20"/>
          <w:szCs w:val="20"/>
        </w:rPr>
        <w:t xml:space="preserve"> A área</w:t>
      </w:r>
      <w:r w:rsidR="00D70032">
        <w:rPr>
          <w:rFonts w:ascii="Arial" w:hAnsi="Arial" w:cs="Arial"/>
          <w:sz w:val="20"/>
          <w:szCs w:val="20"/>
        </w:rPr>
        <w:t xml:space="preserve"> de armazenamento classe II deve possuir acesso através de uma ou mais aberturas de, no mínimo 1,20m de largura e 2,10m de altura que abram de dentro para fora.</w:t>
      </w:r>
    </w:p>
    <w:p w:rsidR="00026CC3" w:rsidRDefault="00026CC3" w:rsidP="00026CC3">
      <w:pPr>
        <w:spacing w:after="0" w:line="240" w:lineRule="auto"/>
        <w:ind w:firstLine="4502"/>
        <w:jc w:val="both"/>
        <w:rPr>
          <w:rFonts w:ascii="Arial" w:hAnsi="Arial" w:cs="Arial"/>
          <w:b/>
          <w:sz w:val="20"/>
          <w:szCs w:val="20"/>
        </w:rPr>
      </w:pPr>
    </w:p>
    <w:p w:rsidR="00D70032" w:rsidRDefault="00D70032" w:rsidP="00026CC3">
      <w:pPr>
        <w:spacing w:after="0" w:line="240" w:lineRule="auto"/>
        <w:ind w:firstLine="4502"/>
        <w:jc w:val="both"/>
        <w:rPr>
          <w:rFonts w:ascii="Arial" w:hAnsi="Arial" w:cs="Arial"/>
          <w:sz w:val="20"/>
          <w:szCs w:val="20"/>
        </w:rPr>
      </w:pPr>
      <w:r w:rsidRPr="00D70032">
        <w:rPr>
          <w:rFonts w:ascii="Arial" w:hAnsi="Arial" w:cs="Arial"/>
          <w:b/>
          <w:sz w:val="20"/>
          <w:szCs w:val="20"/>
        </w:rPr>
        <w:t>§ 8°</w:t>
      </w:r>
      <w:r>
        <w:rPr>
          <w:rFonts w:ascii="Arial" w:hAnsi="Arial" w:cs="Arial"/>
          <w:b/>
          <w:sz w:val="20"/>
          <w:szCs w:val="20"/>
        </w:rPr>
        <w:t xml:space="preserve"> </w:t>
      </w:r>
      <w:r w:rsidRPr="00D70032">
        <w:rPr>
          <w:rFonts w:ascii="Arial" w:hAnsi="Arial" w:cs="Arial"/>
          <w:sz w:val="20"/>
          <w:szCs w:val="20"/>
        </w:rPr>
        <w:t>A área de armazenamento classe III deve possuir acesso através de duas ou mais aberturas de, no mínimo 1,20m de largura e 2,10 de altura que abram de dentro para fora, bem como possuir corredor de inspeção de, no mínimo 1,00m de largura, entre os lotes de recipientes transportáveis de GLP cheios, parcialmente utilizados ou vazios e entre estes e os limites</w:t>
      </w:r>
      <w:r>
        <w:rPr>
          <w:rFonts w:ascii="Arial" w:hAnsi="Arial" w:cs="Arial"/>
          <w:sz w:val="20"/>
          <w:szCs w:val="20"/>
        </w:rPr>
        <w:t xml:space="preserve"> da área de armazenamento.</w:t>
      </w:r>
    </w:p>
    <w:p w:rsidR="00026CC3" w:rsidRDefault="00026CC3" w:rsidP="00026CC3">
      <w:pPr>
        <w:spacing w:after="0" w:line="240" w:lineRule="auto"/>
        <w:ind w:firstLine="4502"/>
        <w:jc w:val="both"/>
        <w:rPr>
          <w:rFonts w:ascii="Arial" w:hAnsi="Arial" w:cs="Arial"/>
          <w:b/>
          <w:sz w:val="20"/>
          <w:szCs w:val="20"/>
        </w:rPr>
      </w:pPr>
    </w:p>
    <w:p w:rsidR="00836CCC" w:rsidRDefault="00D70032" w:rsidP="00026CC3">
      <w:pPr>
        <w:spacing w:after="0" w:line="240" w:lineRule="auto"/>
        <w:ind w:firstLine="4502"/>
        <w:jc w:val="both"/>
        <w:rPr>
          <w:rFonts w:ascii="Arial" w:hAnsi="Arial" w:cs="Arial"/>
          <w:sz w:val="20"/>
          <w:szCs w:val="20"/>
        </w:rPr>
      </w:pPr>
      <w:r w:rsidRPr="00836CCC">
        <w:rPr>
          <w:rFonts w:ascii="Arial" w:hAnsi="Arial" w:cs="Arial"/>
          <w:b/>
          <w:sz w:val="20"/>
          <w:szCs w:val="20"/>
        </w:rPr>
        <w:t>§ 9°</w:t>
      </w:r>
      <w:r>
        <w:rPr>
          <w:rFonts w:ascii="Arial" w:hAnsi="Arial" w:cs="Arial"/>
          <w:sz w:val="20"/>
          <w:szCs w:val="20"/>
        </w:rPr>
        <w:t xml:space="preserve"> </w:t>
      </w:r>
      <w:r w:rsidR="00696B1B">
        <w:rPr>
          <w:rFonts w:ascii="Arial" w:hAnsi="Arial" w:cs="Arial"/>
          <w:sz w:val="20"/>
          <w:szCs w:val="20"/>
        </w:rPr>
        <w:t xml:space="preserve">A área de armazenamento classe </w:t>
      </w:r>
      <w:r w:rsidR="00836CCC">
        <w:rPr>
          <w:rFonts w:ascii="Arial" w:hAnsi="Arial" w:cs="Arial"/>
          <w:sz w:val="20"/>
          <w:szCs w:val="20"/>
        </w:rPr>
        <w:t>I</w:t>
      </w:r>
      <w:r w:rsidR="00696B1B">
        <w:rPr>
          <w:rFonts w:ascii="Arial" w:hAnsi="Arial" w:cs="Arial"/>
          <w:sz w:val="20"/>
          <w:szCs w:val="20"/>
        </w:rPr>
        <w:t xml:space="preserve">V deve comportar botijões dispostos em lotes, possuir acesso através de </w:t>
      </w:r>
      <w:r w:rsidR="00836CCC">
        <w:rPr>
          <w:rFonts w:ascii="Arial" w:hAnsi="Arial" w:cs="Arial"/>
          <w:sz w:val="20"/>
          <w:szCs w:val="20"/>
        </w:rPr>
        <w:t>duas</w:t>
      </w:r>
      <w:r w:rsidR="00696B1B">
        <w:rPr>
          <w:rFonts w:ascii="Arial" w:hAnsi="Arial" w:cs="Arial"/>
          <w:sz w:val="20"/>
          <w:szCs w:val="20"/>
        </w:rPr>
        <w:t xml:space="preserve"> ou mais aberturas de, no mínimo, 1,50m de largura e 2,10m de altura, que abram de dentro para fora, bem como possuir corredor de inspeção de, no mínimo 1,00m de largura</w:t>
      </w:r>
      <w:r w:rsidR="00836CCC">
        <w:rPr>
          <w:rFonts w:ascii="Arial" w:hAnsi="Arial" w:cs="Arial"/>
          <w:sz w:val="20"/>
          <w:szCs w:val="20"/>
        </w:rPr>
        <w:t>, entre os lotes de recipientes transportáveis de GLP cheios, parcialmente utilizados ou vazios e entre estes e os limites da área de armazenamento.</w:t>
      </w:r>
    </w:p>
    <w:p w:rsidR="00026CC3" w:rsidRDefault="00026CC3" w:rsidP="00026CC3">
      <w:pPr>
        <w:spacing w:after="0" w:line="240" w:lineRule="auto"/>
        <w:ind w:firstLine="4502"/>
        <w:jc w:val="both"/>
        <w:rPr>
          <w:rFonts w:ascii="Arial" w:hAnsi="Arial" w:cs="Arial"/>
          <w:b/>
          <w:sz w:val="20"/>
          <w:szCs w:val="20"/>
        </w:rPr>
      </w:pPr>
    </w:p>
    <w:p w:rsidR="00836CCC" w:rsidRPr="00836CCC" w:rsidRDefault="00836CCC" w:rsidP="00026CC3">
      <w:pPr>
        <w:spacing w:after="0" w:line="240" w:lineRule="auto"/>
        <w:ind w:firstLine="4502"/>
        <w:jc w:val="both"/>
        <w:rPr>
          <w:rFonts w:ascii="Arial" w:hAnsi="Arial" w:cs="Arial"/>
          <w:b/>
          <w:sz w:val="20"/>
          <w:szCs w:val="20"/>
        </w:rPr>
      </w:pPr>
      <w:r w:rsidRPr="00836CCC">
        <w:rPr>
          <w:rFonts w:ascii="Arial" w:hAnsi="Arial" w:cs="Arial"/>
          <w:b/>
          <w:sz w:val="20"/>
          <w:szCs w:val="20"/>
        </w:rPr>
        <w:t>§</w:t>
      </w:r>
      <w:r w:rsidR="00696B1B" w:rsidRPr="00836CCC">
        <w:rPr>
          <w:rFonts w:ascii="Arial" w:hAnsi="Arial" w:cs="Arial"/>
          <w:b/>
          <w:sz w:val="20"/>
          <w:szCs w:val="20"/>
        </w:rPr>
        <w:t xml:space="preserve"> </w:t>
      </w:r>
      <w:r w:rsidRPr="00836CCC">
        <w:rPr>
          <w:rFonts w:ascii="Arial" w:hAnsi="Arial" w:cs="Arial"/>
          <w:b/>
          <w:sz w:val="20"/>
          <w:szCs w:val="20"/>
        </w:rPr>
        <w:t>10</w:t>
      </w:r>
      <w:r w:rsidR="00572538">
        <w:rPr>
          <w:rFonts w:ascii="Arial" w:hAnsi="Arial" w:cs="Arial"/>
          <w:b/>
          <w:sz w:val="20"/>
          <w:szCs w:val="20"/>
        </w:rPr>
        <w:t>.</w:t>
      </w:r>
      <w:r>
        <w:rPr>
          <w:rFonts w:ascii="Arial" w:hAnsi="Arial" w:cs="Arial"/>
          <w:b/>
          <w:sz w:val="20"/>
          <w:szCs w:val="20"/>
        </w:rPr>
        <w:t xml:space="preserve"> </w:t>
      </w:r>
      <w:r w:rsidRPr="00836CCC">
        <w:rPr>
          <w:rFonts w:ascii="Arial" w:hAnsi="Arial" w:cs="Arial"/>
          <w:sz w:val="20"/>
          <w:szCs w:val="20"/>
        </w:rPr>
        <w:t>A área</w:t>
      </w:r>
      <w:r>
        <w:rPr>
          <w:rFonts w:ascii="Arial" w:hAnsi="Arial" w:cs="Arial"/>
          <w:sz w:val="20"/>
          <w:szCs w:val="20"/>
        </w:rPr>
        <w:t xml:space="preserve"> de armazenamento Classe V deve comportar botijões dispostos em lotes, possuir acesso através de três ou mais aberturas de, no mínimo, 1,50m de largura e 2,10m de altura, que abram de dentro para fora, bem como possuir corredor de inspeção de, no mínimo 1,00m de largura, entre os lotes de recipientes transportáveis de GLP cheios, parcialmente utilizados ou vazios e entre estes e os limites da área de armazenamento.</w:t>
      </w:r>
    </w:p>
    <w:p w:rsidR="00572538" w:rsidRDefault="00572538" w:rsidP="00026CC3">
      <w:pPr>
        <w:spacing w:after="0" w:line="240" w:lineRule="auto"/>
        <w:ind w:firstLine="4502"/>
        <w:jc w:val="both"/>
        <w:rPr>
          <w:rFonts w:ascii="Arial" w:hAnsi="Arial" w:cs="Arial"/>
          <w:b/>
          <w:sz w:val="20"/>
          <w:szCs w:val="20"/>
        </w:rPr>
      </w:pPr>
    </w:p>
    <w:p w:rsidR="00D70032" w:rsidRPr="00F478DE" w:rsidRDefault="00836CCC" w:rsidP="00026CC3">
      <w:pPr>
        <w:spacing w:after="0" w:line="240" w:lineRule="auto"/>
        <w:ind w:firstLine="4502"/>
        <w:jc w:val="both"/>
        <w:rPr>
          <w:rFonts w:ascii="Arial" w:hAnsi="Arial" w:cs="Arial"/>
          <w:b/>
          <w:sz w:val="20"/>
          <w:szCs w:val="20"/>
        </w:rPr>
      </w:pPr>
      <w:r w:rsidRPr="00836CCC">
        <w:rPr>
          <w:rFonts w:ascii="Arial" w:hAnsi="Arial" w:cs="Arial"/>
          <w:b/>
          <w:sz w:val="20"/>
          <w:szCs w:val="20"/>
        </w:rPr>
        <w:t>§ 11</w:t>
      </w:r>
      <w:r w:rsidR="00572538">
        <w:rPr>
          <w:rFonts w:ascii="Arial" w:hAnsi="Arial" w:cs="Arial"/>
          <w:b/>
          <w:sz w:val="20"/>
          <w:szCs w:val="20"/>
        </w:rPr>
        <w:t>.</w:t>
      </w:r>
      <w:r>
        <w:rPr>
          <w:rFonts w:ascii="Arial" w:hAnsi="Arial" w:cs="Arial"/>
          <w:b/>
          <w:sz w:val="20"/>
          <w:szCs w:val="20"/>
        </w:rPr>
        <w:t xml:space="preserve"> </w:t>
      </w:r>
      <w:r w:rsidRPr="00836CCC">
        <w:rPr>
          <w:rFonts w:ascii="Arial" w:hAnsi="Arial" w:cs="Arial"/>
          <w:sz w:val="20"/>
          <w:szCs w:val="20"/>
        </w:rPr>
        <w:t>A área de armazenamento classe VI</w:t>
      </w:r>
      <w:r w:rsidRPr="00836CCC">
        <w:rPr>
          <w:rFonts w:ascii="Arial" w:hAnsi="Arial" w:cs="Arial"/>
          <w:b/>
          <w:sz w:val="20"/>
          <w:szCs w:val="20"/>
        </w:rPr>
        <w:t xml:space="preserve"> </w:t>
      </w:r>
      <w:r w:rsidRPr="00836CCC">
        <w:rPr>
          <w:rFonts w:ascii="Arial" w:hAnsi="Arial" w:cs="Arial"/>
          <w:sz w:val="20"/>
          <w:szCs w:val="20"/>
        </w:rPr>
        <w:t>deve comportar</w:t>
      </w:r>
      <w:r>
        <w:rPr>
          <w:rFonts w:ascii="Arial" w:hAnsi="Arial" w:cs="Arial"/>
          <w:sz w:val="20"/>
          <w:szCs w:val="20"/>
        </w:rPr>
        <w:t xml:space="preserve"> botijões dispostos em lotes, possuir acesso através de quatro ou mais aberturas de, no mínimo</w:t>
      </w:r>
      <w:r w:rsidR="00B35ED6">
        <w:rPr>
          <w:rFonts w:ascii="Arial" w:hAnsi="Arial" w:cs="Arial"/>
          <w:sz w:val="20"/>
          <w:szCs w:val="20"/>
        </w:rPr>
        <w:t>, 2,00m de largura e 2,10m de altura, que abram de dentro para fora, bem como possuir corredor de inspeção de, no mínimo 1,00m de largura, entre os lotes de recipientes transportáveis de GLP cheios, parcialmente utilizados ou vazios e entre estes e os limites da área de armazenamento.</w:t>
      </w:r>
    </w:p>
    <w:p w:rsidR="00572538" w:rsidRDefault="00572538" w:rsidP="00026CC3">
      <w:pPr>
        <w:spacing w:after="0" w:line="240" w:lineRule="auto"/>
        <w:ind w:firstLine="4502"/>
        <w:jc w:val="both"/>
        <w:rPr>
          <w:rFonts w:ascii="Arial" w:hAnsi="Arial" w:cs="Arial"/>
          <w:b/>
          <w:sz w:val="20"/>
          <w:szCs w:val="20"/>
        </w:rPr>
      </w:pPr>
    </w:p>
    <w:p w:rsidR="00B35ED6" w:rsidRDefault="00B35ED6" w:rsidP="00026CC3">
      <w:pPr>
        <w:spacing w:after="0" w:line="240" w:lineRule="auto"/>
        <w:ind w:firstLine="4502"/>
        <w:jc w:val="both"/>
        <w:rPr>
          <w:rFonts w:ascii="Arial" w:hAnsi="Arial" w:cs="Arial"/>
          <w:sz w:val="20"/>
          <w:szCs w:val="20"/>
        </w:rPr>
      </w:pPr>
      <w:r w:rsidRPr="00F478DE">
        <w:rPr>
          <w:rFonts w:ascii="Arial" w:hAnsi="Arial" w:cs="Arial"/>
          <w:b/>
          <w:sz w:val="20"/>
          <w:szCs w:val="20"/>
        </w:rPr>
        <w:t>Art. 5°</w:t>
      </w:r>
      <w:r>
        <w:rPr>
          <w:rFonts w:ascii="Arial" w:hAnsi="Arial" w:cs="Arial"/>
          <w:sz w:val="20"/>
          <w:szCs w:val="20"/>
        </w:rPr>
        <w:t xml:space="preserve"> Ficam limitadas às áreas de armazenamento das classes I e II as instalações de armazenamento de recipientes transportáveis de GLP cheios, parcialmente utilizados ou vazios em Postos Revendedores de Combustíveis Líquidos – PR.</w:t>
      </w:r>
    </w:p>
    <w:p w:rsidR="00572538" w:rsidRDefault="00572538" w:rsidP="00026CC3">
      <w:pPr>
        <w:spacing w:after="0" w:line="240" w:lineRule="auto"/>
        <w:ind w:firstLine="4502"/>
        <w:jc w:val="both"/>
        <w:rPr>
          <w:rFonts w:ascii="Arial" w:hAnsi="Arial" w:cs="Arial"/>
          <w:sz w:val="20"/>
          <w:szCs w:val="20"/>
        </w:rPr>
      </w:pPr>
    </w:p>
    <w:p w:rsidR="00846B40" w:rsidRPr="00611DB2" w:rsidRDefault="000171B1" w:rsidP="00026CC3">
      <w:pPr>
        <w:spacing w:after="0" w:line="240" w:lineRule="auto"/>
        <w:ind w:firstLine="4502"/>
        <w:jc w:val="both"/>
        <w:rPr>
          <w:rFonts w:ascii="Arial" w:hAnsi="Arial" w:cs="Arial"/>
          <w:sz w:val="20"/>
          <w:szCs w:val="20"/>
        </w:rPr>
      </w:pPr>
      <w:r w:rsidRPr="000171B1">
        <w:rPr>
          <w:rFonts w:ascii="Arial" w:hAnsi="Arial" w:cs="Arial"/>
          <w:b/>
          <w:sz w:val="20"/>
          <w:szCs w:val="20"/>
        </w:rPr>
        <w:t>Art. 6°</w:t>
      </w:r>
      <w:r>
        <w:rPr>
          <w:rFonts w:ascii="Arial" w:hAnsi="Arial" w:cs="Arial"/>
          <w:b/>
          <w:sz w:val="20"/>
          <w:szCs w:val="20"/>
        </w:rPr>
        <w:t xml:space="preserve"> </w:t>
      </w:r>
      <w:r w:rsidRPr="00611DB2">
        <w:rPr>
          <w:rFonts w:ascii="Arial" w:hAnsi="Arial" w:cs="Arial"/>
          <w:sz w:val="20"/>
          <w:szCs w:val="20"/>
        </w:rPr>
        <w:t xml:space="preserve">A instalação de armazenamento de recipientes transportáveis de GLP cheios, parcialmente utilizados ou vazios deverá obedecer </w:t>
      </w:r>
      <w:r w:rsidR="00611DB2">
        <w:rPr>
          <w:rFonts w:ascii="Arial" w:hAnsi="Arial" w:cs="Arial"/>
          <w:sz w:val="20"/>
          <w:szCs w:val="20"/>
        </w:rPr>
        <w:t>à</w:t>
      </w:r>
      <w:r w:rsidRPr="00611DB2">
        <w:rPr>
          <w:rFonts w:ascii="Arial" w:hAnsi="Arial" w:cs="Arial"/>
          <w:sz w:val="20"/>
          <w:szCs w:val="20"/>
        </w:rPr>
        <w:t>s seguintes condições de segurança:</w:t>
      </w:r>
    </w:p>
    <w:p w:rsidR="00572538" w:rsidRDefault="00572538" w:rsidP="00026CC3">
      <w:pPr>
        <w:spacing w:after="0" w:line="240" w:lineRule="auto"/>
        <w:ind w:firstLine="4502"/>
        <w:jc w:val="both"/>
        <w:rPr>
          <w:rFonts w:ascii="Arial" w:hAnsi="Arial" w:cs="Arial"/>
          <w:b/>
          <w:sz w:val="20"/>
          <w:szCs w:val="20"/>
        </w:rPr>
      </w:pPr>
    </w:p>
    <w:p w:rsidR="000171B1" w:rsidRDefault="000171B1" w:rsidP="00026CC3">
      <w:pPr>
        <w:spacing w:after="0" w:line="240" w:lineRule="auto"/>
        <w:ind w:firstLine="4502"/>
        <w:jc w:val="both"/>
        <w:rPr>
          <w:rFonts w:ascii="Arial" w:hAnsi="Arial" w:cs="Arial"/>
          <w:sz w:val="20"/>
          <w:szCs w:val="20"/>
        </w:rPr>
      </w:pPr>
      <w:r w:rsidRPr="00611DB2">
        <w:rPr>
          <w:rFonts w:ascii="Arial" w:hAnsi="Arial" w:cs="Arial"/>
          <w:b/>
          <w:sz w:val="20"/>
          <w:szCs w:val="20"/>
        </w:rPr>
        <w:t>I –</w:t>
      </w:r>
      <w:r w:rsidRPr="00611DB2">
        <w:rPr>
          <w:rFonts w:ascii="Arial" w:hAnsi="Arial" w:cs="Arial"/>
          <w:sz w:val="20"/>
          <w:szCs w:val="20"/>
        </w:rPr>
        <w:t xml:space="preserve"> Condições gerais:</w:t>
      </w:r>
    </w:p>
    <w:p w:rsidR="00572538" w:rsidRPr="00611DB2" w:rsidRDefault="00572538" w:rsidP="00026CC3">
      <w:pPr>
        <w:spacing w:after="0" w:line="240" w:lineRule="auto"/>
        <w:ind w:firstLine="4502"/>
        <w:jc w:val="both"/>
        <w:rPr>
          <w:rFonts w:ascii="Arial" w:hAnsi="Arial" w:cs="Arial"/>
          <w:sz w:val="20"/>
          <w:szCs w:val="20"/>
        </w:rPr>
      </w:pPr>
    </w:p>
    <w:p w:rsidR="000171B1" w:rsidRPr="00611DB2" w:rsidRDefault="000171B1" w:rsidP="00026CC3">
      <w:pPr>
        <w:spacing w:after="0" w:line="240" w:lineRule="auto"/>
        <w:ind w:firstLine="4502"/>
        <w:jc w:val="both"/>
        <w:rPr>
          <w:rFonts w:ascii="Arial" w:hAnsi="Arial" w:cs="Arial"/>
          <w:sz w:val="20"/>
          <w:szCs w:val="20"/>
        </w:rPr>
      </w:pPr>
      <w:r w:rsidRPr="00611DB2">
        <w:rPr>
          <w:rFonts w:ascii="Arial" w:hAnsi="Arial" w:cs="Arial"/>
          <w:b/>
          <w:sz w:val="20"/>
          <w:szCs w:val="20"/>
        </w:rPr>
        <w:t xml:space="preserve">a) </w:t>
      </w:r>
      <w:r w:rsidRPr="00611DB2">
        <w:rPr>
          <w:rFonts w:ascii="Arial" w:hAnsi="Arial" w:cs="Arial"/>
          <w:sz w:val="20"/>
          <w:szCs w:val="20"/>
        </w:rPr>
        <w:t>Situar-se ao nível do solo, ou em plataforma elevada por meio de aterro, podendo ser coberta ou não;</w:t>
      </w:r>
    </w:p>
    <w:p w:rsidR="00611DB2" w:rsidRDefault="000171B1" w:rsidP="00026CC3">
      <w:pPr>
        <w:spacing w:after="0" w:line="240" w:lineRule="auto"/>
        <w:ind w:firstLine="4502"/>
        <w:jc w:val="both"/>
        <w:rPr>
          <w:rFonts w:ascii="Arial" w:hAnsi="Arial" w:cs="Arial"/>
          <w:sz w:val="20"/>
          <w:szCs w:val="20"/>
        </w:rPr>
      </w:pPr>
      <w:r w:rsidRPr="00611DB2">
        <w:rPr>
          <w:rFonts w:ascii="Arial" w:hAnsi="Arial" w:cs="Arial"/>
          <w:b/>
          <w:sz w:val="20"/>
          <w:szCs w:val="20"/>
        </w:rPr>
        <w:t xml:space="preserve">b) </w:t>
      </w:r>
      <w:r w:rsidRPr="00611DB2">
        <w:rPr>
          <w:rFonts w:ascii="Arial" w:hAnsi="Arial" w:cs="Arial"/>
          <w:sz w:val="20"/>
          <w:szCs w:val="20"/>
        </w:rPr>
        <w:t>Quando coberta deverá</w:t>
      </w:r>
      <w:r w:rsidR="00611DB2">
        <w:rPr>
          <w:rFonts w:ascii="Arial" w:hAnsi="Arial" w:cs="Arial"/>
          <w:sz w:val="20"/>
          <w:szCs w:val="20"/>
        </w:rPr>
        <w:t xml:space="preserve"> ter no mínimo 2,50 metros de pé direito e haver permanentemente 1,20 m de espaço livre entre o topo da pilha de botijões e a cobertura, sendo esta construída de material resistente ao fogo, porém com menor resistência mecânica que a estrutura das paredes ou muro;</w:t>
      </w:r>
    </w:p>
    <w:p w:rsidR="00611DB2" w:rsidRDefault="00611DB2" w:rsidP="00026CC3">
      <w:pPr>
        <w:spacing w:after="0" w:line="240" w:lineRule="auto"/>
        <w:ind w:firstLine="4502"/>
        <w:jc w:val="both"/>
        <w:rPr>
          <w:rFonts w:ascii="Arial" w:hAnsi="Arial" w:cs="Arial"/>
          <w:sz w:val="20"/>
          <w:szCs w:val="20"/>
        </w:rPr>
      </w:pPr>
      <w:r w:rsidRPr="00104E21">
        <w:rPr>
          <w:rFonts w:ascii="Arial" w:hAnsi="Arial" w:cs="Arial"/>
          <w:b/>
          <w:sz w:val="20"/>
          <w:szCs w:val="20"/>
        </w:rPr>
        <w:t>c)</w:t>
      </w:r>
      <w:r>
        <w:rPr>
          <w:rFonts w:ascii="Arial" w:hAnsi="Arial" w:cs="Arial"/>
          <w:b/>
          <w:sz w:val="20"/>
          <w:szCs w:val="20"/>
        </w:rPr>
        <w:t xml:space="preserve"> </w:t>
      </w:r>
      <w:r w:rsidRPr="00611DB2">
        <w:rPr>
          <w:rFonts w:ascii="Arial" w:hAnsi="Arial" w:cs="Arial"/>
          <w:sz w:val="20"/>
          <w:szCs w:val="20"/>
        </w:rPr>
        <w:t>Ter a área de armazenamento, no máximo, metade do seu</w:t>
      </w:r>
      <w:r>
        <w:rPr>
          <w:rFonts w:ascii="Arial" w:hAnsi="Arial" w:cs="Arial"/>
          <w:sz w:val="20"/>
          <w:szCs w:val="20"/>
        </w:rPr>
        <w:t xml:space="preserve"> perímetro fechado ou vedado com muros ou similares, desde que resistente ao fogo;</w:t>
      </w:r>
    </w:p>
    <w:p w:rsidR="00104E21" w:rsidRDefault="00611DB2" w:rsidP="00026CC3">
      <w:pPr>
        <w:spacing w:after="0" w:line="240" w:lineRule="auto"/>
        <w:ind w:firstLine="4502"/>
        <w:jc w:val="both"/>
        <w:rPr>
          <w:rFonts w:ascii="Arial" w:hAnsi="Arial" w:cs="Arial"/>
          <w:sz w:val="20"/>
          <w:szCs w:val="20"/>
        </w:rPr>
      </w:pPr>
      <w:r w:rsidRPr="00104E21">
        <w:rPr>
          <w:rFonts w:ascii="Arial" w:hAnsi="Arial" w:cs="Arial"/>
          <w:b/>
          <w:sz w:val="20"/>
          <w:szCs w:val="20"/>
        </w:rPr>
        <w:t>d)</w:t>
      </w:r>
      <w:r>
        <w:rPr>
          <w:rFonts w:ascii="Arial" w:hAnsi="Arial" w:cs="Arial"/>
          <w:sz w:val="20"/>
          <w:szCs w:val="20"/>
        </w:rPr>
        <w:t xml:space="preserve"> Ter o restante perímetro da área de armazenamento fechado com estrutura do tipo de tela de arame ou similar</w:t>
      </w:r>
      <w:r w:rsidR="00104E21">
        <w:rPr>
          <w:rFonts w:ascii="Arial" w:hAnsi="Arial" w:cs="Arial"/>
          <w:sz w:val="20"/>
          <w:szCs w:val="20"/>
        </w:rPr>
        <w:t>, de forma a permitir ampla ventilação;</w:t>
      </w:r>
    </w:p>
    <w:p w:rsidR="00611DB2" w:rsidRDefault="00104E21" w:rsidP="00026CC3">
      <w:pPr>
        <w:spacing w:after="0" w:line="240" w:lineRule="auto"/>
        <w:ind w:firstLine="4502"/>
        <w:jc w:val="both"/>
        <w:rPr>
          <w:rFonts w:ascii="Arial" w:hAnsi="Arial" w:cs="Arial"/>
          <w:sz w:val="20"/>
          <w:szCs w:val="20"/>
        </w:rPr>
      </w:pPr>
      <w:r w:rsidRPr="00104E21">
        <w:rPr>
          <w:rFonts w:ascii="Arial" w:hAnsi="Arial" w:cs="Arial"/>
          <w:b/>
          <w:sz w:val="20"/>
          <w:szCs w:val="20"/>
        </w:rPr>
        <w:t>e)</w:t>
      </w:r>
      <w:r>
        <w:rPr>
          <w:rFonts w:ascii="Arial" w:hAnsi="Arial" w:cs="Arial"/>
          <w:sz w:val="20"/>
          <w:szCs w:val="20"/>
        </w:rPr>
        <w:t xml:space="preserve"> possuir até 7/8 (sete oitavos) de seu perímetro fechado</w:t>
      </w:r>
      <w:r w:rsidR="00611DB2">
        <w:rPr>
          <w:rFonts w:ascii="Arial" w:hAnsi="Arial" w:cs="Arial"/>
          <w:sz w:val="20"/>
          <w:szCs w:val="20"/>
        </w:rPr>
        <w:t xml:space="preserve"> com muro ou similar</w:t>
      </w:r>
      <w:r>
        <w:rPr>
          <w:rFonts w:ascii="Arial" w:hAnsi="Arial" w:cs="Arial"/>
          <w:sz w:val="20"/>
          <w:szCs w:val="20"/>
        </w:rPr>
        <w:t>, quando a área de armazenamento não for cercada como indicado nas alíneas “c” e “d” deste inciso;</w:t>
      </w:r>
    </w:p>
    <w:p w:rsidR="00104E21" w:rsidRDefault="00104E21" w:rsidP="00026CC3">
      <w:pPr>
        <w:spacing w:after="0" w:line="240" w:lineRule="auto"/>
        <w:ind w:firstLine="4502"/>
        <w:jc w:val="both"/>
        <w:rPr>
          <w:rFonts w:ascii="Arial" w:hAnsi="Arial" w:cs="Arial"/>
          <w:sz w:val="20"/>
          <w:szCs w:val="20"/>
        </w:rPr>
      </w:pPr>
      <w:r w:rsidRPr="00DC059A">
        <w:rPr>
          <w:rFonts w:ascii="Arial" w:hAnsi="Arial" w:cs="Arial"/>
          <w:b/>
          <w:sz w:val="20"/>
          <w:szCs w:val="20"/>
        </w:rPr>
        <w:t>f)</w:t>
      </w:r>
      <w:r>
        <w:rPr>
          <w:rFonts w:ascii="Arial" w:hAnsi="Arial" w:cs="Arial"/>
          <w:b/>
          <w:sz w:val="20"/>
          <w:szCs w:val="20"/>
        </w:rPr>
        <w:t xml:space="preserve"> </w:t>
      </w:r>
      <w:r w:rsidRPr="00104E21">
        <w:rPr>
          <w:rFonts w:ascii="Arial" w:hAnsi="Arial" w:cs="Arial"/>
          <w:sz w:val="20"/>
          <w:szCs w:val="20"/>
        </w:rPr>
        <w:t>Possuir</w:t>
      </w:r>
      <w:r>
        <w:rPr>
          <w:rFonts w:ascii="Arial" w:hAnsi="Arial" w:cs="Arial"/>
          <w:sz w:val="20"/>
          <w:szCs w:val="20"/>
        </w:rPr>
        <w:t xml:space="preserve"> em complemento ao muro previsto na alínea “e” deste inciso, fechamento com estrutura do tipo tela de arame ou similar, de forma a permitir ampla ventilação;</w:t>
      </w:r>
    </w:p>
    <w:p w:rsidR="00104E21" w:rsidRDefault="00104E21" w:rsidP="00026CC3">
      <w:pPr>
        <w:spacing w:after="0" w:line="240" w:lineRule="auto"/>
        <w:ind w:firstLine="4502"/>
        <w:jc w:val="both"/>
        <w:rPr>
          <w:rFonts w:ascii="Arial" w:hAnsi="Arial" w:cs="Arial"/>
          <w:sz w:val="20"/>
          <w:szCs w:val="20"/>
        </w:rPr>
      </w:pPr>
      <w:r w:rsidRPr="00DC059A">
        <w:rPr>
          <w:rFonts w:ascii="Arial" w:hAnsi="Arial" w:cs="Arial"/>
          <w:b/>
          <w:sz w:val="20"/>
          <w:szCs w:val="20"/>
        </w:rPr>
        <w:t>g)</w:t>
      </w:r>
      <w:r>
        <w:rPr>
          <w:rFonts w:ascii="Arial" w:hAnsi="Arial" w:cs="Arial"/>
          <w:sz w:val="20"/>
          <w:szCs w:val="20"/>
        </w:rPr>
        <w:t xml:space="preserve"> Possuir, quando cercada, acesso através de aberturas com as dimensões mínimas previstas para estas, quando aplicadas ao fechamento das áreas de armazenamento;</w:t>
      </w:r>
    </w:p>
    <w:p w:rsidR="00DC059A" w:rsidRPr="00DC059A" w:rsidRDefault="00DC059A" w:rsidP="00026CC3">
      <w:pPr>
        <w:spacing w:after="0" w:line="240" w:lineRule="auto"/>
        <w:ind w:firstLine="4502"/>
        <w:jc w:val="both"/>
        <w:rPr>
          <w:rFonts w:ascii="Arial" w:hAnsi="Arial" w:cs="Arial"/>
          <w:sz w:val="20"/>
          <w:szCs w:val="20"/>
        </w:rPr>
      </w:pPr>
      <w:r w:rsidRPr="00DC059A">
        <w:rPr>
          <w:rFonts w:ascii="Arial" w:hAnsi="Arial" w:cs="Arial"/>
          <w:b/>
          <w:sz w:val="20"/>
          <w:szCs w:val="20"/>
        </w:rPr>
        <w:t>h)</w:t>
      </w:r>
      <w:r>
        <w:rPr>
          <w:rFonts w:ascii="Arial" w:hAnsi="Arial" w:cs="Arial"/>
          <w:sz w:val="20"/>
          <w:szCs w:val="20"/>
        </w:rPr>
        <w:t xml:space="preserve"> </w:t>
      </w:r>
      <w:r w:rsidRPr="00DC059A">
        <w:rPr>
          <w:rFonts w:ascii="Arial" w:hAnsi="Arial" w:cs="Arial"/>
          <w:sz w:val="20"/>
          <w:szCs w:val="20"/>
        </w:rPr>
        <w:t>Não possuir, no piso da área de armazenamento e até a uma distância de 3,0 metros desta, aberturas para captação</w:t>
      </w:r>
      <w:r>
        <w:rPr>
          <w:rFonts w:ascii="Arial" w:hAnsi="Arial" w:cs="Arial"/>
          <w:sz w:val="20"/>
          <w:szCs w:val="20"/>
        </w:rPr>
        <w:t xml:space="preserve"> de águas, pluviais, para esgotos ou outra finalidade, canaletas, ralos, rebaixos ou similares;</w:t>
      </w:r>
    </w:p>
    <w:p w:rsidR="000171B1" w:rsidRDefault="00DC059A" w:rsidP="00026CC3">
      <w:pPr>
        <w:spacing w:after="0" w:line="240" w:lineRule="auto"/>
        <w:ind w:firstLine="4502"/>
        <w:jc w:val="both"/>
        <w:rPr>
          <w:rFonts w:ascii="Arial" w:hAnsi="Arial" w:cs="Arial"/>
          <w:sz w:val="20"/>
          <w:szCs w:val="20"/>
        </w:rPr>
      </w:pPr>
      <w:r w:rsidRPr="00DC059A">
        <w:rPr>
          <w:rFonts w:ascii="Arial" w:hAnsi="Arial" w:cs="Arial"/>
          <w:b/>
          <w:sz w:val="20"/>
          <w:szCs w:val="20"/>
        </w:rPr>
        <w:t>i)</w:t>
      </w:r>
      <w:r>
        <w:rPr>
          <w:rFonts w:ascii="Arial" w:hAnsi="Arial" w:cs="Arial"/>
          <w:b/>
          <w:sz w:val="20"/>
          <w:szCs w:val="20"/>
        </w:rPr>
        <w:t xml:space="preserve"> </w:t>
      </w:r>
      <w:r w:rsidRPr="00DC059A">
        <w:rPr>
          <w:rFonts w:ascii="Arial" w:hAnsi="Arial" w:cs="Arial"/>
          <w:sz w:val="20"/>
          <w:szCs w:val="20"/>
        </w:rPr>
        <w:t>Possuir no piso, demarcação delimitando</w:t>
      </w:r>
      <w:r>
        <w:rPr>
          <w:rFonts w:ascii="Arial" w:hAnsi="Arial" w:cs="Arial"/>
          <w:sz w:val="20"/>
          <w:szCs w:val="20"/>
        </w:rPr>
        <w:t xml:space="preserve"> a área de armazenamento e os lotes de recipientes transportáveis de GLP;</w:t>
      </w:r>
    </w:p>
    <w:p w:rsidR="00DC059A" w:rsidRDefault="00DC059A" w:rsidP="00026CC3">
      <w:pPr>
        <w:spacing w:after="0" w:line="240" w:lineRule="auto"/>
        <w:ind w:firstLine="4502"/>
        <w:jc w:val="both"/>
        <w:rPr>
          <w:rFonts w:ascii="Arial" w:hAnsi="Arial" w:cs="Arial"/>
          <w:sz w:val="20"/>
          <w:szCs w:val="20"/>
        </w:rPr>
      </w:pPr>
      <w:r w:rsidRPr="00DC059A">
        <w:rPr>
          <w:rFonts w:ascii="Arial" w:hAnsi="Arial" w:cs="Arial"/>
          <w:b/>
          <w:sz w:val="20"/>
          <w:szCs w:val="20"/>
        </w:rPr>
        <w:t>j)</w:t>
      </w:r>
      <w:r>
        <w:rPr>
          <w:rFonts w:ascii="Arial" w:hAnsi="Arial" w:cs="Arial"/>
          <w:sz w:val="20"/>
          <w:szCs w:val="20"/>
        </w:rPr>
        <w:t xml:space="preserve"> Não armazenar recipientes transportáveis de GLP, cheios, parcialmente utilizados ou vazios, fora da área de armazenamento;</w:t>
      </w:r>
    </w:p>
    <w:p w:rsidR="00DC059A" w:rsidRDefault="00DC059A" w:rsidP="00026CC3">
      <w:pPr>
        <w:spacing w:after="0" w:line="240" w:lineRule="auto"/>
        <w:ind w:firstLine="4502"/>
        <w:jc w:val="both"/>
        <w:rPr>
          <w:rFonts w:ascii="Arial" w:hAnsi="Arial" w:cs="Arial"/>
          <w:sz w:val="20"/>
          <w:szCs w:val="20"/>
        </w:rPr>
      </w:pPr>
      <w:r w:rsidRPr="00DC059A">
        <w:rPr>
          <w:rFonts w:ascii="Arial" w:hAnsi="Arial" w:cs="Arial"/>
          <w:b/>
          <w:sz w:val="20"/>
          <w:szCs w:val="20"/>
        </w:rPr>
        <w:t>k)</w:t>
      </w:r>
      <w:r>
        <w:rPr>
          <w:rFonts w:ascii="Arial" w:hAnsi="Arial" w:cs="Arial"/>
          <w:sz w:val="20"/>
          <w:szCs w:val="20"/>
        </w:rPr>
        <w:t xml:space="preserve"> Quando possuir instalações elétricas, estas devem ser especificadas com equipamentos à prova de explosão, segundo normas de classificação de áreas da Associação Brasileira de Normas Técnicas – ABNT;</w:t>
      </w:r>
    </w:p>
    <w:p w:rsidR="00935BDC" w:rsidRDefault="00935BDC" w:rsidP="00026CC3">
      <w:pPr>
        <w:spacing w:after="0" w:line="240" w:lineRule="auto"/>
        <w:ind w:firstLine="4502"/>
        <w:jc w:val="both"/>
        <w:rPr>
          <w:rFonts w:ascii="Arial" w:hAnsi="Arial" w:cs="Arial"/>
          <w:sz w:val="20"/>
          <w:szCs w:val="20"/>
        </w:rPr>
      </w:pPr>
      <w:r w:rsidRPr="00935BDC">
        <w:rPr>
          <w:rFonts w:ascii="Arial" w:hAnsi="Arial" w:cs="Arial"/>
          <w:b/>
          <w:sz w:val="20"/>
          <w:szCs w:val="20"/>
        </w:rPr>
        <w:t>l</w:t>
      </w:r>
      <w:r w:rsidR="00DC059A" w:rsidRPr="00935BDC">
        <w:rPr>
          <w:rFonts w:ascii="Arial" w:hAnsi="Arial" w:cs="Arial"/>
          <w:b/>
          <w:sz w:val="20"/>
          <w:szCs w:val="20"/>
        </w:rPr>
        <w:t>)</w:t>
      </w:r>
      <w:r w:rsidR="00DC059A">
        <w:rPr>
          <w:rFonts w:ascii="Arial" w:hAnsi="Arial" w:cs="Arial"/>
          <w:sz w:val="20"/>
          <w:szCs w:val="20"/>
        </w:rPr>
        <w:t xml:space="preserve"> Exibir placa indicando a classe da área de armazenamento e o limite máximo de recipientes transportáveis</w:t>
      </w:r>
      <w:r w:rsidR="00D75348">
        <w:rPr>
          <w:rFonts w:ascii="Arial" w:hAnsi="Arial" w:cs="Arial"/>
          <w:sz w:val="20"/>
          <w:szCs w:val="20"/>
        </w:rPr>
        <w:t xml:space="preserve"> de GLP</w:t>
      </w:r>
      <w:r>
        <w:rPr>
          <w:rFonts w:ascii="Arial" w:hAnsi="Arial" w:cs="Arial"/>
          <w:sz w:val="20"/>
          <w:szCs w:val="20"/>
        </w:rPr>
        <w:t>, por capacidade nominal, que a instalação está apta a armazenar;</w:t>
      </w:r>
    </w:p>
    <w:p w:rsidR="00935BDC" w:rsidRDefault="00935BDC" w:rsidP="00026CC3">
      <w:pPr>
        <w:spacing w:after="0" w:line="240" w:lineRule="auto"/>
        <w:ind w:firstLine="4502"/>
        <w:jc w:val="both"/>
        <w:rPr>
          <w:rFonts w:ascii="Arial" w:hAnsi="Arial" w:cs="Arial"/>
          <w:sz w:val="20"/>
          <w:szCs w:val="20"/>
        </w:rPr>
      </w:pPr>
      <w:r w:rsidRPr="009E0C24">
        <w:rPr>
          <w:rFonts w:ascii="Arial" w:hAnsi="Arial" w:cs="Arial"/>
          <w:b/>
          <w:sz w:val="20"/>
          <w:szCs w:val="20"/>
        </w:rPr>
        <w:t>m)</w:t>
      </w:r>
      <w:r>
        <w:rPr>
          <w:rFonts w:ascii="Arial" w:hAnsi="Arial" w:cs="Arial"/>
          <w:sz w:val="20"/>
          <w:szCs w:val="20"/>
        </w:rPr>
        <w:t xml:space="preserve"> Armazenar</w:t>
      </w:r>
      <w:r w:rsidR="00DF6E65">
        <w:rPr>
          <w:rFonts w:ascii="Arial" w:hAnsi="Arial" w:cs="Arial"/>
          <w:sz w:val="20"/>
          <w:szCs w:val="20"/>
        </w:rPr>
        <w:t xml:space="preserve"> os botijões vazios e os parcialmente utilizados, com empilhamento máximo de 4 (quatro) unidades;</w:t>
      </w:r>
    </w:p>
    <w:p w:rsidR="00DF6E65" w:rsidRDefault="00DF6E65" w:rsidP="00026CC3">
      <w:pPr>
        <w:spacing w:after="0" w:line="240" w:lineRule="auto"/>
        <w:ind w:firstLine="4502"/>
        <w:jc w:val="both"/>
        <w:rPr>
          <w:rFonts w:ascii="Arial" w:hAnsi="Arial" w:cs="Arial"/>
          <w:sz w:val="20"/>
          <w:szCs w:val="20"/>
        </w:rPr>
      </w:pPr>
      <w:r w:rsidRPr="00DF6E65">
        <w:rPr>
          <w:rFonts w:ascii="Arial" w:hAnsi="Arial" w:cs="Arial"/>
          <w:b/>
          <w:sz w:val="20"/>
          <w:szCs w:val="20"/>
        </w:rPr>
        <w:t>n)</w:t>
      </w:r>
      <w:r>
        <w:rPr>
          <w:rFonts w:ascii="Arial" w:hAnsi="Arial" w:cs="Arial"/>
          <w:sz w:val="20"/>
          <w:szCs w:val="20"/>
        </w:rPr>
        <w:t xml:space="preserve"> Armazenar os botijões vazios e os parcialmente utilizados separadamente dos cheios, permitindo-se aos vazios o empilhamento de até 5(cinco) unidades</w:t>
      </w:r>
      <w:r w:rsidR="00B727D3">
        <w:rPr>
          <w:rFonts w:ascii="Arial" w:hAnsi="Arial" w:cs="Arial"/>
          <w:sz w:val="20"/>
          <w:szCs w:val="20"/>
        </w:rPr>
        <w:t>, observados</w:t>
      </w:r>
      <w:r w:rsidR="00F23905">
        <w:rPr>
          <w:rFonts w:ascii="Arial" w:hAnsi="Arial" w:cs="Arial"/>
          <w:sz w:val="20"/>
          <w:szCs w:val="20"/>
        </w:rPr>
        <w:t xml:space="preserve"> os mesmos cuidados dispensados aos recipientes cheios de GLP;</w:t>
      </w:r>
    </w:p>
    <w:p w:rsidR="00F23905" w:rsidRDefault="00F23905" w:rsidP="00026CC3">
      <w:pPr>
        <w:spacing w:after="0" w:line="240" w:lineRule="auto"/>
        <w:ind w:firstLine="4502"/>
        <w:jc w:val="both"/>
        <w:rPr>
          <w:rFonts w:ascii="Arial" w:hAnsi="Arial" w:cs="Arial"/>
          <w:sz w:val="20"/>
          <w:szCs w:val="20"/>
        </w:rPr>
      </w:pPr>
      <w:r w:rsidRPr="006E7555">
        <w:rPr>
          <w:rFonts w:ascii="Arial" w:hAnsi="Arial" w:cs="Arial"/>
          <w:b/>
          <w:sz w:val="20"/>
          <w:szCs w:val="20"/>
        </w:rPr>
        <w:t>o)</w:t>
      </w:r>
      <w:r>
        <w:rPr>
          <w:rFonts w:ascii="Arial" w:hAnsi="Arial" w:cs="Arial"/>
          <w:sz w:val="20"/>
          <w:szCs w:val="20"/>
        </w:rPr>
        <w:t xml:space="preserve"> Empilhar somente recipientes transportáveis de GLP, com capacidade nominal igual ou inferior a 13 kg</w:t>
      </w:r>
      <w:r w:rsidR="00D2598B">
        <w:rPr>
          <w:rFonts w:ascii="Arial" w:hAnsi="Arial" w:cs="Arial"/>
          <w:sz w:val="20"/>
          <w:szCs w:val="20"/>
        </w:rPr>
        <w:t xml:space="preserve"> de GLP;</w:t>
      </w:r>
    </w:p>
    <w:p w:rsidR="00D2598B" w:rsidRDefault="00D2598B" w:rsidP="00026CC3">
      <w:pPr>
        <w:spacing w:after="0" w:line="240" w:lineRule="auto"/>
        <w:ind w:firstLine="4502"/>
        <w:jc w:val="both"/>
        <w:rPr>
          <w:rFonts w:ascii="Arial" w:hAnsi="Arial" w:cs="Arial"/>
          <w:sz w:val="20"/>
          <w:szCs w:val="20"/>
        </w:rPr>
      </w:pPr>
      <w:r w:rsidRPr="006E7555">
        <w:rPr>
          <w:rFonts w:ascii="Arial" w:hAnsi="Arial" w:cs="Arial"/>
          <w:b/>
          <w:sz w:val="20"/>
          <w:szCs w:val="20"/>
        </w:rPr>
        <w:t>p)</w:t>
      </w:r>
      <w:r>
        <w:rPr>
          <w:rFonts w:ascii="Arial" w:hAnsi="Arial" w:cs="Arial"/>
          <w:sz w:val="20"/>
          <w:szCs w:val="20"/>
        </w:rPr>
        <w:t xml:space="preserve">  Não permitir a circulação de pessoas estranhas ao manuseio dos recipientes transportáveis de GLP, quando a área de armazenamento não for cercada.</w:t>
      </w:r>
    </w:p>
    <w:p w:rsidR="004C47C5" w:rsidRDefault="004C47C5" w:rsidP="00026CC3">
      <w:pPr>
        <w:spacing w:after="0" w:line="240" w:lineRule="auto"/>
        <w:ind w:firstLine="4502"/>
        <w:jc w:val="both"/>
        <w:rPr>
          <w:rFonts w:ascii="Arial" w:hAnsi="Arial" w:cs="Arial"/>
          <w:sz w:val="20"/>
          <w:szCs w:val="20"/>
        </w:rPr>
      </w:pPr>
    </w:p>
    <w:p w:rsidR="006E7555" w:rsidRDefault="006E7555" w:rsidP="00026CC3">
      <w:pPr>
        <w:spacing w:after="0" w:line="240" w:lineRule="auto"/>
        <w:ind w:firstLine="4502"/>
        <w:jc w:val="both"/>
        <w:rPr>
          <w:rFonts w:ascii="Arial" w:hAnsi="Arial" w:cs="Arial"/>
          <w:sz w:val="20"/>
          <w:szCs w:val="20"/>
        </w:rPr>
      </w:pPr>
      <w:r w:rsidRPr="006E7555">
        <w:rPr>
          <w:rFonts w:ascii="Arial" w:hAnsi="Arial" w:cs="Arial"/>
          <w:b/>
          <w:sz w:val="20"/>
          <w:szCs w:val="20"/>
        </w:rPr>
        <w:t>II</w:t>
      </w:r>
      <w:r w:rsidR="00572538">
        <w:rPr>
          <w:rFonts w:ascii="Arial" w:hAnsi="Arial" w:cs="Arial"/>
          <w:b/>
          <w:sz w:val="20"/>
          <w:szCs w:val="20"/>
        </w:rPr>
        <w:t xml:space="preserve"> </w:t>
      </w:r>
      <w:r w:rsidRPr="006E7555">
        <w:rPr>
          <w:rFonts w:ascii="Arial" w:hAnsi="Arial" w:cs="Arial"/>
          <w:b/>
          <w:sz w:val="20"/>
          <w:szCs w:val="20"/>
        </w:rPr>
        <w:t>-</w:t>
      </w:r>
      <w:r>
        <w:rPr>
          <w:rFonts w:ascii="Arial" w:hAnsi="Arial" w:cs="Arial"/>
          <w:sz w:val="20"/>
          <w:szCs w:val="20"/>
        </w:rPr>
        <w:t xml:space="preserve"> Condições específicas:</w:t>
      </w:r>
    </w:p>
    <w:p w:rsidR="004C47C5" w:rsidRDefault="004C47C5" w:rsidP="00026CC3">
      <w:pPr>
        <w:spacing w:after="0" w:line="240" w:lineRule="auto"/>
        <w:ind w:firstLine="4502"/>
        <w:jc w:val="both"/>
        <w:rPr>
          <w:rFonts w:ascii="Arial" w:hAnsi="Arial" w:cs="Arial"/>
          <w:sz w:val="20"/>
          <w:szCs w:val="20"/>
        </w:rPr>
      </w:pPr>
    </w:p>
    <w:p w:rsidR="006E7555" w:rsidRPr="00572538" w:rsidRDefault="00572538" w:rsidP="00026CC3">
      <w:pPr>
        <w:spacing w:after="0" w:line="240" w:lineRule="auto"/>
        <w:ind w:firstLine="4502"/>
        <w:jc w:val="both"/>
        <w:rPr>
          <w:rFonts w:ascii="Arial" w:hAnsi="Arial" w:cs="Arial"/>
          <w:sz w:val="20"/>
          <w:szCs w:val="20"/>
        </w:rPr>
      </w:pPr>
      <w:r w:rsidRPr="00572538">
        <w:rPr>
          <w:rFonts w:ascii="Arial" w:hAnsi="Arial" w:cs="Arial"/>
          <w:b/>
          <w:sz w:val="20"/>
          <w:szCs w:val="20"/>
        </w:rPr>
        <w:t>a)</w:t>
      </w:r>
      <w:r>
        <w:rPr>
          <w:rFonts w:ascii="Arial" w:hAnsi="Arial" w:cs="Arial"/>
          <w:sz w:val="20"/>
          <w:szCs w:val="20"/>
        </w:rPr>
        <w:t xml:space="preserve"> </w:t>
      </w:r>
      <w:r w:rsidR="006E7555" w:rsidRPr="00572538">
        <w:rPr>
          <w:rFonts w:ascii="Arial" w:hAnsi="Arial" w:cs="Arial"/>
          <w:sz w:val="20"/>
          <w:szCs w:val="20"/>
        </w:rPr>
        <w:t>Exibir placas em lugares visíveis com os seguintes dizeres ou convenção gráfica que reproduza: “PERIGO-INFLAMÁVEL” e “ÉXPRESSAMENTE PROIBIDO O USO DE FOGO E DE QUAISQUER INSTRUMENTOS QUE PRODUZAM FAÍSCAS”, nas seguintes quantidades:</w:t>
      </w:r>
    </w:p>
    <w:p w:rsidR="00572538" w:rsidRDefault="00572538" w:rsidP="00026CC3">
      <w:pPr>
        <w:spacing w:after="0" w:line="240" w:lineRule="auto"/>
        <w:ind w:firstLine="4502"/>
        <w:jc w:val="both"/>
        <w:rPr>
          <w:rFonts w:ascii="Arial" w:hAnsi="Arial" w:cs="Arial"/>
          <w:b/>
          <w:sz w:val="20"/>
          <w:szCs w:val="20"/>
        </w:rPr>
      </w:pPr>
    </w:p>
    <w:p w:rsidR="006E7555" w:rsidRDefault="006E7555" w:rsidP="00026CC3">
      <w:pPr>
        <w:spacing w:after="0" w:line="240" w:lineRule="auto"/>
        <w:ind w:firstLine="4502"/>
        <w:jc w:val="both"/>
        <w:rPr>
          <w:rFonts w:ascii="Arial" w:hAnsi="Arial" w:cs="Arial"/>
          <w:sz w:val="20"/>
          <w:szCs w:val="20"/>
        </w:rPr>
      </w:pPr>
      <w:r w:rsidRPr="006E7555">
        <w:rPr>
          <w:rFonts w:ascii="Arial" w:hAnsi="Arial" w:cs="Arial"/>
          <w:b/>
          <w:sz w:val="20"/>
          <w:szCs w:val="20"/>
        </w:rPr>
        <w:t>1</w:t>
      </w:r>
      <w:r w:rsidR="00572538">
        <w:rPr>
          <w:rFonts w:ascii="Arial" w:hAnsi="Arial" w:cs="Arial"/>
          <w:b/>
          <w:sz w:val="20"/>
          <w:szCs w:val="20"/>
        </w:rPr>
        <w:t>.</w:t>
      </w:r>
      <w:r>
        <w:rPr>
          <w:rFonts w:ascii="Arial" w:hAnsi="Arial" w:cs="Arial"/>
          <w:sz w:val="20"/>
          <w:szCs w:val="20"/>
        </w:rPr>
        <w:t xml:space="preserve"> Uma placa, quando tratar-se de Área de Armazenamento classe I ou II;</w:t>
      </w:r>
    </w:p>
    <w:p w:rsidR="006E7555" w:rsidRDefault="006E7555" w:rsidP="00026CC3">
      <w:pPr>
        <w:spacing w:after="0" w:line="240" w:lineRule="auto"/>
        <w:ind w:firstLine="4502"/>
        <w:jc w:val="both"/>
        <w:rPr>
          <w:rFonts w:ascii="Arial" w:hAnsi="Arial" w:cs="Arial"/>
          <w:sz w:val="20"/>
          <w:szCs w:val="20"/>
        </w:rPr>
      </w:pPr>
      <w:r w:rsidRPr="006E7555">
        <w:rPr>
          <w:rFonts w:ascii="Arial" w:hAnsi="Arial" w:cs="Arial"/>
          <w:b/>
          <w:sz w:val="20"/>
          <w:szCs w:val="20"/>
        </w:rPr>
        <w:t>2</w:t>
      </w:r>
      <w:r w:rsidR="00572538">
        <w:rPr>
          <w:rFonts w:ascii="Arial" w:hAnsi="Arial" w:cs="Arial"/>
          <w:b/>
          <w:sz w:val="20"/>
          <w:szCs w:val="20"/>
        </w:rPr>
        <w:t>.</w:t>
      </w:r>
      <w:r>
        <w:rPr>
          <w:rFonts w:ascii="Arial" w:hAnsi="Arial" w:cs="Arial"/>
          <w:sz w:val="20"/>
          <w:szCs w:val="20"/>
        </w:rPr>
        <w:t xml:space="preserve"> Duas placas, quando tratar-se de Área de Armazenamento classe III ou IV;</w:t>
      </w:r>
    </w:p>
    <w:p w:rsidR="006E7555" w:rsidRDefault="006E7555" w:rsidP="00026CC3">
      <w:pPr>
        <w:spacing w:after="0" w:line="240" w:lineRule="auto"/>
        <w:ind w:firstLine="4502"/>
        <w:jc w:val="both"/>
        <w:rPr>
          <w:rFonts w:ascii="Arial" w:hAnsi="Arial" w:cs="Arial"/>
          <w:sz w:val="20"/>
          <w:szCs w:val="20"/>
        </w:rPr>
      </w:pPr>
      <w:r w:rsidRPr="006E7555">
        <w:rPr>
          <w:rFonts w:ascii="Arial" w:hAnsi="Arial" w:cs="Arial"/>
          <w:b/>
          <w:sz w:val="20"/>
          <w:szCs w:val="20"/>
        </w:rPr>
        <w:t>3</w:t>
      </w:r>
      <w:r w:rsidR="00572538">
        <w:rPr>
          <w:rFonts w:ascii="Arial" w:hAnsi="Arial" w:cs="Arial"/>
          <w:b/>
          <w:sz w:val="20"/>
          <w:szCs w:val="20"/>
        </w:rPr>
        <w:t>.</w:t>
      </w:r>
      <w:r>
        <w:rPr>
          <w:rFonts w:ascii="Arial" w:hAnsi="Arial" w:cs="Arial"/>
          <w:sz w:val="20"/>
          <w:szCs w:val="20"/>
        </w:rPr>
        <w:t xml:space="preserve"> Quatro placas, quando tratar-se de Área de Armazenamento classe V;</w:t>
      </w:r>
    </w:p>
    <w:p w:rsidR="004C47C5" w:rsidRDefault="004C47C5" w:rsidP="00026CC3">
      <w:pPr>
        <w:spacing w:after="0" w:line="240" w:lineRule="auto"/>
        <w:ind w:firstLine="4502"/>
        <w:jc w:val="both"/>
        <w:rPr>
          <w:rFonts w:ascii="Arial" w:hAnsi="Arial" w:cs="Arial"/>
          <w:sz w:val="20"/>
          <w:szCs w:val="20"/>
        </w:rPr>
      </w:pPr>
      <w:r w:rsidRPr="004C47C5">
        <w:rPr>
          <w:rFonts w:ascii="Arial" w:hAnsi="Arial" w:cs="Arial"/>
          <w:b/>
          <w:sz w:val="20"/>
          <w:szCs w:val="20"/>
        </w:rPr>
        <w:t>4</w:t>
      </w:r>
      <w:r w:rsidR="00572538">
        <w:rPr>
          <w:rFonts w:ascii="Arial" w:hAnsi="Arial" w:cs="Arial"/>
          <w:b/>
          <w:sz w:val="20"/>
          <w:szCs w:val="20"/>
        </w:rPr>
        <w:t>.</w:t>
      </w:r>
      <w:r>
        <w:rPr>
          <w:rFonts w:ascii="Arial" w:hAnsi="Arial" w:cs="Arial"/>
          <w:sz w:val="20"/>
          <w:szCs w:val="20"/>
        </w:rPr>
        <w:t xml:space="preserve"> Seis placas, quando tratar-se de Área de Armazenamento classe VI.</w:t>
      </w:r>
    </w:p>
    <w:p w:rsidR="004C47C5" w:rsidRDefault="004C47C5" w:rsidP="00026CC3">
      <w:pPr>
        <w:spacing w:after="0" w:line="240" w:lineRule="auto"/>
        <w:ind w:firstLine="4502"/>
        <w:jc w:val="both"/>
        <w:rPr>
          <w:rFonts w:ascii="Arial" w:hAnsi="Arial" w:cs="Arial"/>
          <w:sz w:val="20"/>
          <w:szCs w:val="20"/>
        </w:rPr>
      </w:pPr>
    </w:p>
    <w:p w:rsidR="004C47C5" w:rsidRDefault="004C47C5" w:rsidP="00026CC3">
      <w:pPr>
        <w:spacing w:after="0" w:line="240" w:lineRule="auto"/>
        <w:ind w:firstLine="4502"/>
        <w:jc w:val="both"/>
        <w:rPr>
          <w:rFonts w:ascii="Arial" w:hAnsi="Arial" w:cs="Arial"/>
          <w:sz w:val="20"/>
          <w:szCs w:val="20"/>
        </w:rPr>
      </w:pPr>
      <w:r w:rsidRPr="004C47C5">
        <w:rPr>
          <w:rFonts w:ascii="Arial" w:hAnsi="Arial" w:cs="Arial"/>
          <w:b/>
          <w:sz w:val="20"/>
          <w:szCs w:val="20"/>
        </w:rPr>
        <w:t>b)</w:t>
      </w:r>
      <w:r>
        <w:rPr>
          <w:rFonts w:ascii="Arial" w:hAnsi="Arial" w:cs="Arial"/>
          <w:sz w:val="20"/>
          <w:szCs w:val="20"/>
        </w:rPr>
        <w:t xml:space="preserve"> Possuir extintores de incêndio de pó químico seco, devidamente inspecionados e com validade em dia, nas seguintes quantidades mínimas:</w:t>
      </w:r>
    </w:p>
    <w:p w:rsidR="004C47C5" w:rsidRDefault="004C47C5" w:rsidP="00026CC3">
      <w:pPr>
        <w:spacing w:after="0" w:line="240" w:lineRule="auto"/>
        <w:ind w:firstLine="4502"/>
        <w:jc w:val="both"/>
        <w:rPr>
          <w:rFonts w:ascii="Arial" w:hAnsi="Arial" w:cs="Arial"/>
          <w:sz w:val="20"/>
          <w:szCs w:val="20"/>
        </w:rPr>
      </w:pPr>
    </w:p>
    <w:p w:rsidR="001276D1" w:rsidRDefault="001276D1" w:rsidP="00026CC3">
      <w:pPr>
        <w:spacing w:after="0" w:line="240" w:lineRule="auto"/>
        <w:ind w:firstLine="4502"/>
        <w:jc w:val="both"/>
        <w:rPr>
          <w:rFonts w:ascii="Arial" w:hAnsi="Arial" w:cs="Arial"/>
          <w:sz w:val="20"/>
          <w:szCs w:val="20"/>
        </w:rPr>
      </w:pPr>
      <w:r w:rsidRPr="001276D1">
        <w:rPr>
          <w:rFonts w:ascii="Arial" w:hAnsi="Arial" w:cs="Arial"/>
          <w:b/>
          <w:sz w:val="20"/>
          <w:szCs w:val="20"/>
        </w:rPr>
        <w:t>1</w:t>
      </w:r>
      <w:r w:rsidR="00572538">
        <w:rPr>
          <w:rFonts w:ascii="Arial" w:hAnsi="Arial" w:cs="Arial"/>
          <w:b/>
          <w:sz w:val="20"/>
          <w:szCs w:val="20"/>
        </w:rPr>
        <w:t>.</w:t>
      </w:r>
      <w:r>
        <w:rPr>
          <w:rFonts w:ascii="Arial" w:hAnsi="Arial" w:cs="Arial"/>
          <w:b/>
          <w:sz w:val="20"/>
          <w:szCs w:val="20"/>
        </w:rPr>
        <w:t xml:space="preserve"> </w:t>
      </w:r>
      <w:r w:rsidRPr="001276D1">
        <w:rPr>
          <w:rFonts w:ascii="Arial" w:hAnsi="Arial" w:cs="Arial"/>
          <w:sz w:val="20"/>
          <w:szCs w:val="20"/>
        </w:rPr>
        <w:t>Total de 8 kg, quando tratar-se</w:t>
      </w:r>
      <w:r>
        <w:rPr>
          <w:rFonts w:ascii="Arial" w:hAnsi="Arial" w:cs="Arial"/>
          <w:sz w:val="20"/>
          <w:szCs w:val="20"/>
        </w:rPr>
        <w:t xml:space="preserve"> de Á de Armazenamento classe I;</w:t>
      </w:r>
    </w:p>
    <w:p w:rsidR="004C47C5" w:rsidRDefault="001276D1" w:rsidP="00026CC3">
      <w:pPr>
        <w:spacing w:after="0" w:line="240" w:lineRule="auto"/>
        <w:ind w:firstLine="4502"/>
        <w:jc w:val="both"/>
        <w:rPr>
          <w:rFonts w:ascii="Arial" w:hAnsi="Arial" w:cs="Arial"/>
          <w:sz w:val="20"/>
          <w:szCs w:val="20"/>
        </w:rPr>
      </w:pPr>
      <w:r w:rsidRPr="001276D1">
        <w:rPr>
          <w:rFonts w:ascii="Arial" w:hAnsi="Arial" w:cs="Arial"/>
          <w:b/>
          <w:sz w:val="20"/>
          <w:szCs w:val="20"/>
        </w:rPr>
        <w:t>2</w:t>
      </w:r>
      <w:r w:rsidR="00572538">
        <w:rPr>
          <w:rFonts w:ascii="Arial" w:hAnsi="Arial" w:cs="Arial"/>
          <w:b/>
          <w:sz w:val="20"/>
          <w:szCs w:val="20"/>
        </w:rPr>
        <w:t>.</w:t>
      </w:r>
      <w:r>
        <w:rPr>
          <w:rFonts w:ascii="Arial" w:hAnsi="Arial" w:cs="Arial"/>
          <w:sz w:val="20"/>
          <w:szCs w:val="20"/>
        </w:rPr>
        <w:t xml:space="preserve"> Total de 24 kg, com no mínimo dois extintores, quando tratar-se de Área de Armazenamento classe II;</w:t>
      </w:r>
    </w:p>
    <w:p w:rsidR="001276D1" w:rsidRDefault="001276D1" w:rsidP="00026CC3">
      <w:pPr>
        <w:spacing w:after="0" w:line="240" w:lineRule="auto"/>
        <w:ind w:firstLine="4502"/>
        <w:jc w:val="both"/>
        <w:rPr>
          <w:rFonts w:ascii="Arial" w:hAnsi="Arial" w:cs="Arial"/>
          <w:sz w:val="20"/>
          <w:szCs w:val="20"/>
        </w:rPr>
      </w:pPr>
      <w:r w:rsidRPr="00911C6C">
        <w:rPr>
          <w:rFonts w:ascii="Arial" w:hAnsi="Arial" w:cs="Arial"/>
          <w:b/>
          <w:sz w:val="20"/>
          <w:szCs w:val="20"/>
        </w:rPr>
        <w:t>3</w:t>
      </w:r>
      <w:r w:rsidR="00572538">
        <w:rPr>
          <w:rFonts w:ascii="Arial" w:hAnsi="Arial" w:cs="Arial"/>
          <w:b/>
          <w:sz w:val="20"/>
          <w:szCs w:val="20"/>
        </w:rPr>
        <w:t>.</w:t>
      </w:r>
      <w:r>
        <w:rPr>
          <w:rFonts w:ascii="Arial" w:hAnsi="Arial" w:cs="Arial"/>
          <w:sz w:val="20"/>
          <w:szCs w:val="20"/>
        </w:rPr>
        <w:t xml:space="preserve"> Total de 64 kg, com no mínimo 4 extintores, quando tratar-se de Área de Armazenamento classe III;</w:t>
      </w:r>
    </w:p>
    <w:p w:rsidR="00911C6C" w:rsidRDefault="00911C6C" w:rsidP="00026CC3">
      <w:pPr>
        <w:spacing w:after="0" w:line="240" w:lineRule="auto"/>
        <w:ind w:firstLine="4502"/>
        <w:jc w:val="both"/>
        <w:rPr>
          <w:rFonts w:ascii="Arial" w:hAnsi="Arial" w:cs="Arial"/>
          <w:sz w:val="20"/>
          <w:szCs w:val="20"/>
        </w:rPr>
      </w:pPr>
      <w:r w:rsidRPr="00911C6C">
        <w:rPr>
          <w:rFonts w:ascii="Arial" w:hAnsi="Arial" w:cs="Arial"/>
          <w:b/>
          <w:sz w:val="20"/>
          <w:szCs w:val="20"/>
        </w:rPr>
        <w:t>4</w:t>
      </w:r>
      <w:r w:rsidR="00572538">
        <w:rPr>
          <w:rFonts w:ascii="Arial" w:hAnsi="Arial" w:cs="Arial"/>
          <w:b/>
          <w:sz w:val="20"/>
          <w:szCs w:val="20"/>
        </w:rPr>
        <w:t>.</w:t>
      </w:r>
      <w:r>
        <w:rPr>
          <w:rFonts w:ascii="Arial" w:hAnsi="Arial" w:cs="Arial"/>
          <w:sz w:val="20"/>
          <w:szCs w:val="20"/>
        </w:rPr>
        <w:t xml:space="preserve"> Total de 96 kg, com no mínimo 8 extintores, quando tratar-se de área de armazenamento classes IV, V e VI.</w:t>
      </w:r>
    </w:p>
    <w:p w:rsidR="00911C6C" w:rsidRDefault="00911C6C" w:rsidP="00026CC3">
      <w:pPr>
        <w:spacing w:after="0" w:line="240" w:lineRule="auto"/>
        <w:ind w:firstLine="4502"/>
        <w:jc w:val="both"/>
        <w:rPr>
          <w:rFonts w:ascii="Arial" w:hAnsi="Arial" w:cs="Arial"/>
          <w:sz w:val="20"/>
          <w:szCs w:val="20"/>
        </w:rPr>
      </w:pPr>
    </w:p>
    <w:p w:rsidR="00911C6C" w:rsidRDefault="00911C6C" w:rsidP="00026CC3">
      <w:pPr>
        <w:spacing w:after="0" w:line="240" w:lineRule="auto"/>
        <w:ind w:firstLine="4502"/>
        <w:jc w:val="both"/>
        <w:rPr>
          <w:rFonts w:ascii="Arial" w:hAnsi="Arial" w:cs="Arial"/>
          <w:sz w:val="20"/>
          <w:szCs w:val="20"/>
        </w:rPr>
      </w:pPr>
      <w:r w:rsidRPr="003134BB">
        <w:rPr>
          <w:rFonts w:ascii="Arial" w:hAnsi="Arial" w:cs="Arial"/>
          <w:b/>
          <w:sz w:val="20"/>
          <w:szCs w:val="20"/>
        </w:rPr>
        <w:t>c)</w:t>
      </w:r>
      <w:r>
        <w:rPr>
          <w:rFonts w:ascii="Arial" w:hAnsi="Arial" w:cs="Arial"/>
          <w:sz w:val="20"/>
          <w:szCs w:val="20"/>
        </w:rPr>
        <w:t xml:space="preserve"> Possuir nas áreas de armazenamento da classe III e superiores, equipamento de detecção de vazamento de GLP, operando a uma densidade máxima de 1/10 do limite inferior de explosividade e permitido o alarme dentro de 3 (três) segundos</w:t>
      </w:r>
      <w:r w:rsidR="00572538">
        <w:rPr>
          <w:rFonts w:ascii="Arial" w:hAnsi="Arial" w:cs="Arial"/>
          <w:sz w:val="20"/>
          <w:szCs w:val="20"/>
        </w:rPr>
        <w:t>;</w:t>
      </w:r>
    </w:p>
    <w:p w:rsidR="003134BB" w:rsidRDefault="003134BB" w:rsidP="00026CC3">
      <w:pPr>
        <w:spacing w:after="0" w:line="240" w:lineRule="auto"/>
        <w:ind w:firstLine="4502"/>
        <w:jc w:val="both"/>
        <w:rPr>
          <w:rFonts w:ascii="Arial" w:hAnsi="Arial" w:cs="Arial"/>
          <w:sz w:val="20"/>
          <w:szCs w:val="20"/>
        </w:rPr>
      </w:pPr>
      <w:r w:rsidRPr="003134BB">
        <w:rPr>
          <w:rFonts w:ascii="Arial" w:hAnsi="Arial" w:cs="Arial"/>
          <w:b/>
          <w:sz w:val="20"/>
          <w:szCs w:val="20"/>
        </w:rPr>
        <w:t>d)</w:t>
      </w:r>
      <w:r>
        <w:rPr>
          <w:rFonts w:ascii="Arial" w:hAnsi="Arial" w:cs="Arial"/>
          <w:sz w:val="20"/>
          <w:szCs w:val="20"/>
        </w:rPr>
        <w:t xml:space="preserve"> Manter no local, para todas as áreas de armazenamento, líquido e material necessário para teste de vazamento de GLP.</w:t>
      </w:r>
    </w:p>
    <w:p w:rsidR="003134BB" w:rsidRDefault="003134BB" w:rsidP="00026CC3">
      <w:pPr>
        <w:spacing w:after="0" w:line="240" w:lineRule="auto"/>
        <w:ind w:firstLine="4502"/>
        <w:jc w:val="both"/>
        <w:rPr>
          <w:rFonts w:ascii="Arial" w:hAnsi="Arial" w:cs="Arial"/>
          <w:sz w:val="20"/>
          <w:szCs w:val="20"/>
        </w:rPr>
      </w:pPr>
    </w:p>
    <w:p w:rsidR="003134BB" w:rsidRDefault="003134BB" w:rsidP="00026CC3">
      <w:pPr>
        <w:spacing w:after="0" w:line="240" w:lineRule="auto"/>
        <w:ind w:firstLine="4502"/>
        <w:jc w:val="both"/>
        <w:rPr>
          <w:rFonts w:ascii="Arial" w:hAnsi="Arial" w:cs="Arial"/>
          <w:sz w:val="20"/>
          <w:szCs w:val="20"/>
        </w:rPr>
      </w:pPr>
      <w:r w:rsidRPr="003134BB">
        <w:rPr>
          <w:rFonts w:ascii="Arial" w:hAnsi="Arial" w:cs="Arial"/>
          <w:b/>
          <w:sz w:val="20"/>
          <w:szCs w:val="20"/>
        </w:rPr>
        <w:t xml:space="preserve">III </w:t>
      </w:r>
      <w:r>
        <w:rPr>
          <w:rFonts w:ascii="Arial" w:hAnsi="Arial" w:cs="Arial"/>
          <w:b/>
          <w:sz w:val="20"/>
          <w:szCs w:val="20"/>
        </w:rPr>
        <w:t>–</w:t>
      </w:r>
      <w:r w:rsidRPr="003134BB">
        <w:rPr>
          <w:rFonts w:ascii="Arial" w:hAnsi="Arial" w:cs="Arial"/>
          <w:sz w:val="20"/>
          <w:szCs w:val="20"/>
        </w:rPr>
        <w:t xml:space="preserve"> Manter</w:t>
      </w:r>
      <w:r>
        <w:rPr>
          <w:rFonts w:ascii="Arial" w:hAnsi="Arial" w:cs="Arial"/>
          <w:sz w:val="20"/>
          <w:szCs w:val="20"/>
        </w:rPr>
        <w:t xml:space="preserve"> </w:t>
      </w:r>
      <w:r w:rsidR="00307736">
        <w:rPr>
          <w:rFonts w:ascii="Arial" w:hAnsi="Arial" w:cs="Arial"/>
          <w:sz w:val="20"/>
          <w:szCs w:val="20"/>
        </w:rPr>
        <w:t>distâncias mínimas, em metros, conforme quadro abaixo:</w:t>
      </w:r>
    </w:p>
    <w:p w:rsidR="00572538" w:rsidRDefault="00572538" w:rsidP="00026CC3">
      <w:pPr>
        <w:spacing w:after="0" w:line="240" w:lineRule="auto"/>
        <w:jc w:val="both"/>
        <w:rPr>
          <w:rFonts w:ascii="Arial" w:hAnsi="Arial" w:cs="Arial"/>
          <w:sz w:val="20"/>
          <w:szCs w:val="20"/>
        </w:rPr>
      </w:pPr>
    </w:p>
    <w:tbl>
      <w:tblPr>
        <w:tblStyle w:val="Estilo2"/>
        <w:tblW w:w="0" w:type="auto"/>
        <w:jc w:val="center"/>
        <w:tblLook w:val="04A0" w:firstRow="1" w:lastRow="0" w:firstColumn="1" w:lastColumn="0" w:noHBand="0" w:noVBand="1"/>
      </w:tblPr>
      <w:tblGrid>
        <w:gridCol w:w="5780"/>
        <w:gridCol w:w="676"/>
        <w:gridCol w:w="676"/>
        <w:gridCol w:w="676"/>
        <w:gridCol w:w="787"/>
        <w:gridCol w:w="787"/>
        <w:gridCol w:w="807"/>
      </w:tblGrid>
      <w:tr w:rsidR="00FC2055" w:rsidRPr="00026CC3" w:rsidTr="00026CC3">
        <w:trPr>
          <w:cnfStyle w:val="100000000000" w:firstRow="1" w:lastRow="0" w:firstColumn="0" w:lastColumn="0" w:oddVBand="0" w:evenVBand="0" w:oddHBand="0" w:evenHBand="0" w:firstRowFirstColumn="0" w:firstRowLastColumn="0" w:lastRowFirstColumn="0" w:lastRowLastColumn="0"/>
          <w:jc w:val="center"/>
        </w:trPr>
        <w:tc>
          <w:tcPr>
            <w:tcW w:w="0" w:type="auto"/>
            <w:gridSpan w:val="7"/>
            <w:shd w:val="clear" w:color="auto" w:fill="D9D9D9" w:themeFill="background1" w:themeFillShade="D9"/>
          </w:tcPr>
          <w:p w:rsidR="00FC2055" w:rsidRPr="00026CC3" w:rsidRDefault="00FC2055" w:rsidP="00026CC3">
            <w:pPr>
              <w:jc w:val="center"/>
              <w:rPr>
                <w:rFonts w:ascii="Arial" w:hAnsi="Arial" w:cs="Arial"/>
                <w:b/>
                <w:sz w:val="20"/>
                <w:szCs w:val="20"/>
              </w:rPr>
            </w:pPr>
            <w:r w:rsidRPr="00026CC3">
              <w:rPr>
                <w:rFonts w:ascii="Arial" w:hAnsi="Arial" w:cs="Arial"/>
                <w:b/>
                <w:sz w:val="20"/>
                <w:szCs w:val="20"/>
              </w:rPr>
              <w:t>CLASSE DA ÁREA DE ARMAZENAMENTO</w:t>
            </w:r>
          </w:p>
        </w:tc>
      </w:tr>
      <w:tr w:rsidR="000C6643" w:rsidRPr="00026CC3" w:rsidTr="00026CC3">
        <w:trPr>
          <w:jc w:val="center"/>
        </w:trPr>
        <w:tc>
          <w:tcPr>
            <w:tcW w:w="0" w:type="auto"/>
            <w:shd w:val="clear" w:color="auto" w:fill="D9D9D9" w:themeFill="background1" w:themeFillShade="D9"/>
          </w:tcPr>
          <w:p w:rsidR="00FC2055" w:rsidRPr="00026CC3" w:rsidRDefault="00FC2055" w:rsidP="00026CC3">
            <w:pPr>
              <w:jc w:val="center"/>
              <w:rPr>
                <w:rFonts w:ascii="Arial" w:hAnsi="Arial" w:cs="Arial"/>
                <w:b/>
                <w:sz w:val="20"/>
                <w:szCs w:val="20"/>
              </w:rPr>
            </w:pPr>
          </w:p>
        </w:tc>
        <w:tc>
          <w:tcPr>
            <w:tcW w:w="0" w:type="auto"/>
            <w:gridSpan w:val="6"/>
            <w:shd w:val="clear" w:color="auto" w:fill="D9D9D9" w:themeFill="background1" w:themeFillShade="D9"/>
          </w:tcPr>
          <w:p w:rsidR="00FC2055" w:rsidRPr="00026CC3" w:rsidRDefault="00FC2055" w:rsidP="00026CC3">
            <w:pPr>
              <w:jc w:val="center"/>
              <w:rPr>
                <w:rFonts w:ascii="Arial" w:hAnsi="Arial" w:cs="Arial"/>
                <w:b/>
                <w:sz w:val="20"/>
                <w:szCs w:val="20"/>
              </w:rPr>
            </w:pPr>
            <w:r w:rsidRPr="00026CC3">
              <w:rPr>
                <w:rFonts w:ascii="Arial" w:hAnsi="Arial" w:cs="Arial"/>
                <w:b/>
                <w:sz w:val="20"/>
                <w:szCs w:val="20"/>
              </w:rPr>
              <w:t>Distância de Segurança Mínima</w:t>
            </w:r>
            <w:r w:rsidR="006847A2" w:rsidRPr="00026CC3">
              <w:rPr>
                <w:rFonts w:ascii="Arial" w:hAnsi="Arial" w:cs="Arial"/>
                <w:b/>
                <w:sz w:val="20"/>
                <w:szCs w:val="20"/>
              </w:rPr>
              <w:t xml:space="preserve"> (metros)</w:t>
            </w:r>
          </w:p>
        </w:tc>
      </w:tr>
      <w:tr w:rsidR="000C6643" w:rsidRPr="00026CC3" w:rsidTr="00026CC3">
        <w:trPr>
          <w:jc w:val="center"/>
        </w:trPr>
        <w:tc>
          <w:tcPr>
            <w:tcW w:w="0" w:type="auto"/>
            <w:shd w:val="clear" w:color="auto" w:fill="D9D9D9" w:themeFill="background1" w:themeFillShade="D9"/>
          </w:tcPr>
          <w:p w:rsidR="00FC2055" w:rsidRPr="00026CC3" w:rsidRDefault="00FC2055" w:rsidP="00026CC3">
            <w:pPr>
              <w:jc w:val="center"/>
              <w:rPr>
                <w:rFonts w:ascii="Arial" w:hAnsi="Arial" w:cs="Arial"/>
                <w:b/>
                <w:sz w:val="20"/>
                <w:szCs w:val="20"/>
              </w:rPr>
            </w:pPr>
          </w:p>
        </w:tc>
        <w:tc>
          <w:tcPr>
            <w:tcW w:w="0" w:type="auto"/>
            <w:shd w:val="clear" w:color="auto" w:fill="D9D9D9" w:themeFill="background1" w:themeFillShade="D9"/>
          </w:tcPr>
          <w:p w:rsidR="00FC2055" w:rsidRPr="00026CC3" w:rsidRDefault="006847A2" w:rsidP="00026CC3">
            <w:pPr>
              <w:jc w:val="center"/>
              <w:rPr>
                <w:rFonts w:ascii="Arial" w:hAnsi="Arial" w:cs="Arial"/>
                <w:b/>
                <w:sz w:val="20"/>
                <w:szCs w:val="20"/>
              </w:rPr>
            </w:pPr>
            <w:r w:rsidRPr="00026CC3">
              <w:rPr>
                <w:rFonts w:ascii="Arial" w:hAnsi="Arial" w:cs="Arial"/>
                <w:b/>
                <w:sz w:val="20"/>
                <w:szCs w:val="20"/>
              </w:rPr>
              <w:t>I</w:t>
            </w:r>
          </w:p>
        </w:tc>
        <w:tc>
          <w:tcPr>
            <w:tcW w:w="0" w:type="auto"/>
            <w:shd w:val="clear" w:color="auto" w:fill="D9D9D9" w:themeFill="background1" w:themeFillShade="D9"/>
          </w:tcPr>
          <w:p w:rsidR="00FC2055" w:rsidRPr="00026CC3" w:rsidRDefault="006847A2" w:rsidP="00026CC3">
            <w:pPr>
              <w:jc w:val="center"/>
              <w:rPr>
                <w:rFonts w:ascii="Arial" w:hAnsi="Arial" w:cs="Arial"/>
                <w:b/>
                <w:sz w:val="20"/>
                <w:szCs w:val="20"/>
              </w:rPr>
            </w:pPr>
            <w:r w:rsidRPr="00026CC3">
              <w:rPr>
                <w:rFonts w:ascii="Arial" w:hAnsi="Arial" w:cs="Arial"/>
                <w:b/>
                <w:sz w:val="20"/>
                <w:szCs w:val="20"/>
              </w:rPr>
              <w:t>II</w:t>
            </w:r>
          </w:p>
        </w:tc>
        <w:tc>
          <w:tcPr>
            <w:tcW w:w="0" w:type="auto"/>
            <w:shd w:val="clear" w:color="auto" w:fill="D9D9D9" w:themeFill="background1" w:themeFillShade="D9"/>
          </w:tcPr>
          <w:p w:rsidR="00FC2055" w:rsidRPr="00026CC3" w:rsidRDefault="000C6643" w:rsidP="00026CC3">
            <w:pPr>
              <w:jc w:val="center"/>
              <w:rPr>
                <w:rFonts w:ascii="Arial" w:hAnsi="Arial" w:cs="Arial"/>
                <w:b/>
                <w:sz w:val="20"/>
                <w:szCs w:val="20"/>
              </w:rPr>
            </w:pPr>
            <w:r w:rsidRPr="00026CC3">
              <w:rPr>
                <w:rFonts w:ascii="Arial" w:hAnsi="Arial" w:cs="Arial"/>
                <w:b/>
                <w:sz w:val="20"/>
                <w:szCs w:val="20"/>
              </w:rPr>
              <w:t>III</w:t>
            </w:r>
          </w:p>
        </w:tc>
        <w:tc>
          <w:tcPr>
            <w:tcW w:w="0" w:type="auto"/>
            <w:shd w:val="clear" w:color="auto" w:fill="D9D9D9" w:themeFill="background1" w:themeFillShade="D9"/>
          </w:tcPr>
          <w:p w:rsidR="00FC2055" w:rsidRPr="00026CC3" w:rsidRDefault="000C6643" w:rsidP="00026CC3">
            <w:pPr>
              <w:jc w:val="center"/>
              <w:rPr>
                <w:rFonts w:ascii="Arial" w:hAnsi="Arial" w:cs="Arial"/>
                <w:b/>
                <w:sz w:val="20"/>
                <w:szCs w:val="20"/>
              </w:rPr>
            </w:pPr>
            <w:r w:rsidRPr="00026CC3">
              <w:rPr>
                <w:rFonts w:ascii="Arial" w:hAnsi="Arial" w:cs="Arial"/>
                <w:b/>
                <w:sz w:val="20"/>
                <w:szCs w:val="20"/>
              </w:rPr>
              <w:t>IV</w:t>
            </w:r>
          </w:p>
        </w:tc>
        <w:tc>
          <w:tcPr>
            <w:tcW w:w="0" w:type="auto"/>
            <w:shd w:val="clear" w:color="auto" w:fill="D9D9D9" w:themeFill="background1" w:themeFillShade="D9"/>
          </w:tcPr>
          <w:p w:rsidR="00FC2055" w:rsidRPr="00026CC3" w:rsidRDefault="000C6643" w:rsidP="00026CC3">
            <w:pPr>
              <w:jc w:val="center"/>
              <w:rPr>
                <w:rFonts w:ascii="Arial" w:hAnsi="Arial" w:cs="Arial"/>
                <w:b/>
                <w:sz w:val="20"/>
                <w:szCs w:val="20"/>
              </w:rPr>
            </w:pPr>
            <w:r w:rsidRPr="00026CC3">
              <w:rPr>
                <w:rFonts w:ascii="Arial" w:hAnsi="Arial" w:cs="Arial"/>
                <w:b/>
                <w:sz w:val="20"/>
                <w:szCs w:val="20"/>
              </w:rPr>
              <w:t>V</w:t>
            </w:r>
          </w:p>
        </w:tc>
        <w:tc>
          <w:tcPr>
            <w:tcW w:w="0" w:type="auto"/>
            <w:shd w:val="clear" w:color="auto" w:fill="D9D9D9" w:themeFill="background1" w:themeFillShade="D9"/>
          </w:tcPr>
          <w:p w:rsidR="00FC2055" w:rsidRPr="00026CC3" w:rsidRDefault="000C6643" w:rsidP="00026CC3">
            <w:pPr>
              <w:jc w:val="center"/>
              <w:rPr>
                <w:rFonts w:ascii="Arial" w:hAnsi="Arial" w:cs="Arial"/>
                <w:b/>
                <w:sz w:val="20"/>
                <w:szCs w:val="20"/>
              </w:rPr>
            </w:pPr>
            <w:r w:rsidRPr="00026CC3">
              <w:rPr>
                <w:rFonts w:ascii="Arial" w:hAnsi="Arial" w:cs="Arial"/>
                <w:b/>
                <w:sz w:val="20"/>
                <w:szCs w:val="20"/>
              </w:rPr>
              <w:t>VI</w:t>
            </w:r>
          </w:p>
        </w:tc>
      </w:tr>
      <w:tr w:rsidR="000C6643" w:rsidTr="00E91DB9">
        <w:trPr>
          <w:jc w:val="center"/>
        </w:trPr>
        <w:tc>
          <w:tcPr>
            <w:tcW w:w="0" w:type="auto"/>
          </w:tcPr>
          <w:p w:rsidR="00FC2055" w:rsidRPr="000C6643" w:rsidRDefault="000C6643" w:rsidP="00026CC3">
            <w:pPr>
              <w:jc w:val="both"/>
              <w:rPr>
                <w:rFonts w:ascii="Arial" w:hAnsi="Arial" w:cs="Arial"/>
                <w:sz w:val="20"/>
                <w:szCs w:val="20"/>
              </w:rPr>
            </w:pPr>
            <w:r w:rsidRPr="000C6643">
              <w:rPr>
                <w:rFonts w:ascii="Arial" w:hAnsi="Arial" w:cs="Arial"/>
                <w:sz w:val="20"/>
                <w:szCs w:val="20"/>
              </w:rPr>
              <w:t>Limites da propriedade quanto esta for delimitada por muro com altura mínima de 1,80 m</w:t>
            </w:r>
            <w:r>
              <w:rPr>
                <w:rFonts w:ascii="Arial" w:hAnsi="Arial" w:cs="Arial"/>
                <w:sz w:val="20"/>
                <w:szCs w:val="20"/>
              </w:rPr>
              <w:t>.</w:t>
            </w:r>
          </w:p>
        </w:tc>
        <w:tc>
          <w:tcPr>
            <w:tcW w:w="0" w:type="auto"/>
          </w:tcPr>
          <w:p w:rsidR="00FC2055" w:rsidRPr="000C6643" w:rsidRDefault="000C6643" w:rsidP="00026CC3">
            <w:pPr>
              <w:jc w:val="both"/>
              <w:rPr>
                <w:rFonts w:ascii="Arial" w:hAnsi="Arial" w:cs="Arial"/>
                <w:sz w:val="20"/>
                <w:szCs w:val="20"/>
              </w:rPr>
            </w:pPr>
            <w:r w:rsidRPr="000C6643">
              <w:rPr>
                <w:rFonts w:ascii="Arial" w:hAnsi="Arial" w:cs="Arial"/>
                <w:sz w:val="20"/>
                <w:szCs w:val="20"/>
              </w:rPr>
              <w:t>1,5</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3,0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5,0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6,0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7,5</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10,0</w:t>
            </w:r>
          </w:p>
        </w:tc>
      </w:tr>
      <w:tr w:rsidR="000C6643" w:rsidTr="00E91DB9">
        <w:trPr>
          <w:jc w:val="center"/>
        </w:trPr>
        <w:tc>
          <w:tcPr>
            <w:tcW w:w="0" w:type="auto"/>
          </w:tcPr>
          <w:p w:rsidR="00FC2055" w:rsidRPr="000C6643" w:rsidRDefault="000C6643" w:rsidP="00026CC3">
            <w:pPr>
              <w:jc w:val="both"/>
              <w:rPr>
                <w:rFonts w:ascii="Arial" w:hAnsi="Arial" w:cs="Arial"/>
                <w:sz w:val="20"/>
                <w:szCs w:val="20"/>
              </w:rPr>
            </w:pPr>
            <w:r w:rsidRPr="000C6643">
              <w:rPr>
                <w:rFonts w:ascii="Arial" w:hAnsi="Arial" w:cs="Arial"/>
                <w:sz w:val="20"/>
                <w:szCs w:val="20"/>
              </w:rPr>
              <w:t>Limites</w:t>
            </w:r>
            <w:r>
              <w:rPr>
                <w:rFonts w:ascii="Arial" w:hAnsi="Arial" w:cs="Arial"/>
                <w:sz w:val="20"/>
                <w:szCs w:val="20"/>
              </w:rPr>
              <w:t xml:space="preserve"> da propriedade quanto esta não for delimitada por muro, exceto vias públicas.</w:t>
            </w:r>
          </w:p>
        </w:tc>
        <w:tc>
          <w:tcPr>
            <w:tcW w:w="0" w:type="auto"/>
          </w:tcPr>
          <w:p w:rsidR="00FC2055" w:rsidRPr="000C6643" w:rsidRDefault="000C6643" w:rsidP="00026CC3">
            <w:pPr>
              <w:jc w:val="both"/>
              <w:rPr>
                <w:rFonts w:ascii="Arial" w:hAnsi="Arial" w:cs="Arial"/>
                <w:sz w:val="20"/>
                <w:szCs w:val="20"/>
              </w:rPr>
            </w:pPr>
            <w:r w:rsidRPr="000C6643">
              <w:rPr>
                <w:rFonts w:ascii="Arial" w:hAnsi="Arial" w:cs="Arial"/>
                <w:sz w:val="20"/>
                <w:szCs w:val="20"/>
              </w:rPr>
              <w:t>5,0</w:t>
            </w:r>
          </w:p>
        </w:tc>
        <w:tc>
          <w:tcPr>
            <w:tcW w:w="0" w:type="auto"/>
          </w:tcPr>
          <w:p w:rsidR="00FC2055" w:rsidRPr="000C6643" w:rsidRDefault="000C6643" w:rsidP="00026CC3">
            <w:pPr>
              <w:jc w:val="both"/>
              <w:rPr>
                <w:rFonts w:ascii="Arial" w:hAnsi="Arial" w:cs="Arial"/>
                <w:sz w:val="20"/>
                <w:szCs w:val="20"/>
              </w:rPr>
            </w:pPr>
            <w:r w:rsidRPr="000C6643">
              <w:rPr>
                <w:rFonts w:ascii="Arial" w:hAnsi="Arial" w:cs="Arial"/>
                <w:sz w:val="20"/>
                <w:szCs w:val="20"/>
              </w:rPr>
              <w:t>7,50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15,0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20,0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30,0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50,0</w:t>
            </w:r>
          </w:p>
        </w:tc>
      </w:tr>
      <w:tr w:rsidR="000C6643" w:rsidTr="00E91DB9">
        <w:trPr>
          <w:jc w:val="center"/>
        </w:trPr>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 xml:space="preserve">Vias </w:t>
            </w:r>
            <w:r w:rsidR="00A030C4">
              <w:rPr>
                <w:rFonts w:ascii="Arial" w:hAnsi="Arial" w:cs="Arial"/>
                <w:sz w:val="20"/>
                <w:szCs w:val="20"/>
              </w:rPr>
              <w:t>pú</w:t>
            </w:r>
            <w:r>
              <w:rPr>
                <w:rFonts w:ascii="Arial" w:hAnsi="Arial" w:cs="Arial"/>
                <w:sz w:val="20"/>
                <w:szCs w:val="20"/>
              </w:rPr>
              <w:t>blicas</w:t>
            </w:r>
            <w:r w:rsidR="00A030C4">
              <w:rPr>
                <w:rFonts w:ascii="Arial" w:hAnsi="Arial" w:cs="Arial"/>
                <w:sz w:val="20"/>
                <w:szCs w:val="20"/>
              </w:rPr>
              <w:t>.</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1,50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3,0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7,5</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7,50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7,50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15,0</w:t>
            </w:r>
          </w:p>
        </w:tc>
      </w:tr>
      <w:tr w:rsidR="000C6643" w:rsidTr="00E91DB9">
        <w:trPr>
          <w:jc w:val="center"/>
        </w:trPr>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Escolas, Igrejas, Cinemas, Hospitais, locais de grande aglomeração de pessoas e similares</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20,0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30,0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80,0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100,0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150,0</w:t>
            </w:r>
          </w:p>
        </w:tc>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180,0</w:t>
            </w:r>
          </w:p>
        </w:tc>
      </w:tr>
      <w:tr w:rsidR="000C6643" w:rsidTr="00E91DB9">
        <w:trPr>
          <w:jc w:val="center"/>
        </w:trPr>
        <w:tc>
          <w:tcPr>
            <w:tcW w:w="0" w:type="auto"/>
          </w:tcPr>
          <w:p w:rsidR="00FC2055" w:rsidRPr="000C6643" w:rsidRDefault="000C6643" w:rsidP="00026CC3">
            <w:pPr>
              <w:jc w:val="both"/>
              <w:rPr>
                <w:rFonts w:ascii="Arial" w:hAnsi="Arial" w:cs="Arial"/>
                <w:sz w:val="20"/>
                <w:szCs w:val="20"/>
              </w:rPr>
            </w:pPr>
            <w:r>
              <w:rPr>
                <w:rFonts w:ascii="Arial" w:hAnsi="Arial" w:cs="Arial"/>
                <w:sz w:val="20"/>
                <w:szCs w:val="20"/>
              </w:rPr>
              <w:t xml:space="preserve">Bombas de combustíveis, bocais e tubos de ventilação de tanque de combustíveis e/ou descargas de motores à explosão, </w:t>
            </w:r>
            <w:r w:rsidR="00A030C4">
              <w:rPr>
                <w:rFonts w:ascii="Arial" w:hAnsi="Arial" w:cs="Arial"/>
                <w:sz w:val="20"/>
                <w:szCs w:val="20"/>
              </w:rPr>
              <w:t>bem como de equipamentos e máquinas que produzam calor.</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5,0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7,50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15,0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15,0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15,0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15,0</w:t>
            </w:r>
          </w:p>
        </w:tc>
      </w:tr>
      <w:tr w:rsidR="000C6643" w:rsidTr="00E91DB9">
        <w:trPr>
          <w:jc w:val="center"/>
        </w:trPr>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Outras fontes de ignição</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3,0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3,0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5,0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8,0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8,0</w:t>
            </w:r>
          </w:p>
        </w:tc>
        <w:tc>
          <w:tcPr>
            <w:tcW w:w="0" w:type="auto"/>
          </w:tcPr>
          <w:p w:rsidR="00FC2055" w:rsidRPr="000C6643" w:rsidRDefault="00A030C4" w:rsidP="00026CC3">
            <w:pPr>
              <w:jc w:val="both"/>
              <w:rPr>
                <w:rFonts w:ascii="Arial" w:hAnsi="Arial" w:cs="Arial"/>
                <w:sz w:val="20"/>
                <w:szCs w:val="20"/>
              </w:rPr>
            </w:pPr>
            <w:r>
              <w:rPr>
                <w:rFonts w:ascii="Arial" w:hAnsi="Arial" w:cs="Arial"/>
                <w:sz w:val="20"/>
                <w:szCs w:val="20"/>
              </w:rPr>
              <w:t>10,0</w:t>
            </w:r>
          </w:p>
        </w:tc>
      </w:tr>
    </w:tbl>
    <w:p w:rsidR="006E7555" w:rsidRDefault="006E7555" w:rsidP="00026CC3">
      <w:pPr>
        <w:spacing w:after="0" w:line="240" w:lineRule="auto"/>
        <w:jc w:val="both"/>
        <w:rPr>
          <w:rFonts w:ascii="Arial" w:hAnsi="Arial" w:cs="Arial"/>
          <w:sz w:val="20"/>
          <w:szCs w:val="20"/>
        </w:rPr>
      </w:pPr>
    </w:p>
    <w:p w:rsidR="00D31336" w:rsidRPr="001276D1" w:rsidRDefault="00D31336" w:rsidP="00026CC3">
      <w:pPr>
        <w:spacing w:after="0" w:line="240" w:lineRule="auto"/>
        <w:ind w:firstLine="4502"/>
        <w:jc w:val="both"/>
        <w:rPr>
          <w:rFonts w:ascii="Arial" w:hAnsi="Arial" w:cs="Arial"/>
          <w:sz w:val="20"/>
          <w:szCs w:val="20"/>
        </w:rPr>
      </w:pPr>
      <w:r w:rsidRPr="003A135B">
        <w:rPr>
          <w:rFonts w:ascii="Arial" w:hAnsi="Arial" w:cs="Arial"/>
          <w:b/>
          <w:sz w:val="20"/>
          <w:szCs w:val="20"/>
        </w:rPr>
        <w:t>§ 1°</w:t>
      </w:r>
      <w:r>
        <w:rPr>
          <w:rFonts w:ascii="Arial" w:hAnsi="Arial" w:cs="Arial"/>
          <w:sz w:val="20"/>
          <w:szCs w:val="20"/>
        </w:rPr>
        <w:t xml:space="preserve"> Quando os vasilhames estiverem acondicionados em estrados apropriados, a altura de empilhamento poderá ser acrescida em até 50% (cinquenta por cento), desde que no local esteja disponível equipamento apropriado para tal empilhamento.</w:t>
      </w:r>
    </w:p>
    <w:p w:rsidR="00F23905" w:rsidRDefault="00F23905" w:rsidP="00026CC3">
      <w:pPr>
        <w:spacing w:after="0" w:line="240" w:lineRule="auto"/>
        <w:ind w:firstLine="4502"/>
        <w:jc w:val="both"/>
        <w:rPr>
          <w:rFonts w:ascii="Arial" w:hAnsi="Arial" w:cs="Arial"/>
          <w:sz w:val="20"/>
          <w:szCs w:val="20"/>
        </w:rPr>
      </w:pPr>
    </w:p>
    <w:p w:rsidR="003A135B" w:rsidRDefault="003A135B" w:rsidP="00026CC3">
      <w:pPr>
        <w:spacing w:after="0" w:line="240" w:lineRule="auto"/>
        <w:ind w:firstLine="4502"/>
        <w:jc w:val="both"/>
        <w:rPr>
          <w:rFonts w:ascii="Arial" w:hAnsi="Arial" w:cs="Arial"/>
          <w:sz w:val="20"/>
          <w:szCs w:val="20"/>
        </w:rPr>
      </w:pPr>
      <w:r w:rsidRPr="003A135B">
        <w:rPr>
          <w:rFonts w:ascii="Arial" w:hAnsi="Arial" w:cs="Arial"/>
          <w:b/>
          <w:sz w:val="20"/>
          <w:szCs w:val="20"/>
        </w:rPr>
        <w:t>§ 2°</w:t>
      </w:r>
      <w:r>
        <w:rPr>
          <w:rFonts w:ascii="Arial" w:hAnsi="Arial" w:cs="Arial"/>
          <w:sz w:val="20"/>
          <w:szCs w:val="20"/>
        </w:rPr>
        <w:t xml:space="preserve"> No caso de vazamento de GLP, o recipiente defeituoso deverá ser afastado dos demais e retirado para local aberto, distante de qualquer ponto de chama, ignição ou aquecimento.</w:t>
      </w:r>
    </w:p>
    <w:p w:rsidR="003A135B" w:rsidRDefault="003A135B" w:rsidP="00026CC3">
      <w:pPr>
        <w:spacing w:after="0" w:line="240" w:lineRule="auto"/>
        <w:ind w:firstLine="4502"/>
        <w:jc w:val="both"/>
        <w:rPr>
          <w:rFonts w:ascii="Arial" w:hAnsi="Arial" w:cs="Arial"/>
          <w:sz w:val="20"/>
          <w:szCs w:val="20"/>
        </w:rPr>
      </w:pPr>
    </w:p>
    <w:p w:rsidR="003A135B" w:rsidRDefault="003A135B" w:rsidP="00026CC3">
      <w:pPr>
        <w:spacing w:after="0" w:line="240" w:lineRule="auto"/>
        <w:ind w:firstLine="4502"/>
        <w:jc w:val="both"/>
        <w:rPr>
          <w:rFonts w:ascii="Arial" w:hAnsi="Arial" w:cs="Arial"/>
          <w:sz w:val="20"/>
          <w:szCs w:val="20"/>
        </w:rPr>
      </w:pPr>
      <w:r w:rsidRPr="003A135B">
        <w:rPr>
          <w:rFonts w:ascii="Arial" w:hAnsi="Arial" w:cs="Arial"/>
          <w:b/>
          <w:sz w:val="20"/>
          <w:szCs w:val="20"/>
        </w:rPr>
        <w:t>§ 3°</w:t>
      </w:r>
      <w:r>
        <w:rPr>
          <w:rFonts w:ascii="Arial" w:hAnsi="Arial" w:cs="Arial"/>
          <w:b/>
          <w:sz w:val="20"/>
          <w:szCs w:val="20"/>
        </w:rPr>
        <w:t xml:space="preserve"> </w:t>
      </w:r>
      <w:r w:rsidRPr="003A135B">
        <w:rPr>
          <w:rFonts w:ascii="Arial" w:hAnsi="Arial" w:cs="Arial"/>
          <w:sz w:val="20"/>
          <w:szCs w:val="20"/>
        </w:rPr>
        <w:t>Os recipientes</w:t>
      </w:r>
      <w:r>
        <w:rPr>
          <w:rFonts w:ascii="Arial" w:hAnsi="Arial" w:cs="Arial"/>
          <w:sz w:val="20"/>
          <w:szCs w:val="20"/>
        </w:rPr>
        <w:t xml:space="preserve"> transportáveis de GLP com capacidade nominal inferior a 13 kg, cheios, parcialmente utilizados ou vazios, armazenados</w:t>
      </w:r>
      <w:r w:rsidR="00C61068">
        <w:rPr>
          <w:rFonts w:ascii="Arial" w:hAnsi="Arial" w:cs="Arial"/>
          <w:sz w:val="20"/>
          <w:szCs w:val="20"/>
        </w:rPr>
        <w:t xml:space="preserve"> em áreas classe I ou II, tem o seu empilhamento limitado a uma altura máxima de 1,50m.</w:t>
      </w:r>
    </w:p>
    <w:p w:rsidR="00C61068" w:rsidRDefault="00C61068" w:rsidP="00026CC3">
      <w:pPr>
        <w:spacing w:after="0" w:line="240" w:lineRule="auto"/>
        <w:ind w:firstLine="4502"/>
        <w:jc w:val="both"/>
        <w:rPr>
          <w:rFonts w:ascii="Arial" w:hAnsi="Arial" w:cs="Arial"/>
          <w:sz w:val="20"/>
          <w:szCs w:val="20"/>
        </w:rPr>
      </w:pPr>
    </w:p>
    <w:p w:rsidR="00C61068" w:rsidRDefault="00C61068" w:rsidP="00026CC3">
      <w:pPr>
        <w:spacing w:after="0" w:line="240" w:lineRule="auto"/>
        <w:ind w:firstLine="4502"/>
        <w:jc w:val="both"/>
        <w:rPr>
          <w:rFonts w:ascii="Arial" w:hAnsi="Arial" w:cs="Arial"/>
          <w:sz w:val="20"/>
          <w:szCs w:val="20"/>
        </w:rPr>
      </w:pPr>
      <w:r w:rsidRPr="00C61068">
        <w:rPr>
          <w:rFonts w:ascii="Arial" w:hAnsi="Arial" w:cs="Arial"/>
          <w:b/>
          <w:sz w:val="20"/>
          <w:szCs w:val="20"/>
        </w:rPr>
        <w:t>§ 4°</w:t>
      </w:r>
      <w:r>
        <w:rPr>
          <w:rFonts w:ascii="Arial" w:hAnsi="Arial" w:cs="Arial"/>
          <w:sz w:val="20"/>
          <w:szCs w:val="20"/>
        </w:rPr>
        <w:t xml:space="preserve"> As distâncias constantes do quadro indicado no inciso III deste artigo poderão ser reduzidas em 50% (cinquenta por cento), limitadas ao mínimo de 1,0m, quando existir parede corta fogo, com altura superior a 150m, em relação ao topo da pilha de recipientes transportáveis de GLP mais, alta, admitida nesta Lei.</w:t>
      </w:r>
    </w:p>
    <w:p w:rsidR="00C61068" w:rsidRDefault="00C61068" w:rsidP="00026CC3">
      <w:pPr>
        <w:spacing w:after="0" w:line="240" w:lineRule="auto"/>
        <w:ind w:firstLine="4502"/>
        <w:jc w:val="both"/>
        <w:rPr>
          <w:rFonts w:ascii="Arial" w:hAnsi="Arial" w:cs="Arial"/>
          <w:sz w:val="20"/>
          <w:szCs w:val="20"/>
        </w:rPr>
      </w:pPr>
    </w:p>
    <w:p w:rsidR="00C61068" w:rsidRDefault="00C61068" w:rsidP="00026CC3">
      <w:pPr>
        <w:spacing w:after="0" w:line="240" w:lineRule="auto"/>
        <w:ind w:firstLine="4502"/>
        <w:jc w:val="both"/>
        <w:rPr>
          <w:rFonts w:ascii="Arial" w:hAnsi="Arial" w:cs="Arial"/>
          <w:sz w:val="20"/>
          <w:szCs w:val="20"/>
        </w:rPr>
      </w:pPr>
      <w:r w:rsidRPr="006F09E4">
        <w:rPr>
          <w:rFonts w:ascii="Arial" w:hAnsi="Arial" w:cs="Arial"/>
          <w:b/>
          <w:sz w:val="20"/>
          <w:szCs w:val="20"/>
        </w:rPr>
        <w:t>§ 5°</w:t>
      </w:r>
      <w:r>
        <w:rPr>
          <w:rFonts w:ascii="Arial" w:hAnsi="Arial" w:cs="Arial"/>
          <w:sz w:val="20"/>
          <w:szCs w:val="20"/>
        </w:rPr>
        <w:t xml:space="preserve"> Para que as áreas de armazenamento sejam consideradas separadas, para efeito de aplicação dos limites de distâncias previstos no inciso III deste artigo, estas devem estar afastadas entre si da soma das distâncias mínimas de segurança, previstas para os limites</w:t>
      </w:r>
      <w:r w:rsidR="006F09E4">
        <w:rPr>
          <w:rFonts w:ascii="Arial" w:hAnsi="Arial" w:cs="Arial"/>
          <w:sz w:val="20"/>
          <w:szCs w:val="20"/>
        </w:rPr>
        <w:t xml:space="preserve"> da propriedade.</w:t>
      </w:r>
    </w:p>
    <w:p w:rsidR="006F09E4" w:rsidRDefault="006F09E4" w:rsidP="00026CC3">
      <w:pPr>
        <w:spacing w:after="0" w:line="240" w:lineRule="auto"/>
        <w:ind w:firstLine="4502"/>
        <w:jc w:val="both"/>
        <w:rPr>
          <w:rFonts w:ascii="Arial" w:hAnsi="Arial" w:cs="Arial"/>
          <w:sz w:val="20"/>
          <w:szCs w:val="20"/>
        </w:rPr>
      </w:pPr>
    </w:p>
    <w:p w:rsidR="006F09E4" w:rsidRPr="006F09E4" w:rsidRDefault="006F09E4" w:rsidP="00026CC3">
      <w:pPr>
        <w:spacing w:after="0" w:line="240" w:lineRule="auto"/>
        <w:ind w:firstLine="4502"/>
        <w:jc w:val="both"/>
        <w:rPr>
          <w:rFonts w:ascii="Arial" w:hAnsi="Arial" w:cs="Arial"/>
          <w:sz w:val="20"/>
          <w:szCs w:val="20"/>
        </w:rPr>
      </w:pPr>
      <w:r w:rsidRPr="006F09E4">
        <w:rPr>
          <w:rFonts w:ascii="Arial" w:hAnsi="Arial" w:cs="Arial"/>
          <w:b/>
          <w:sz w:val="20"/>
          <w:szCs w:val="20"/>
        </w:rPr>
        <w:t>§ 6</w:t>
      </w:r>
      <w:r w:rsidRPr="006F09E4">
        <w:rPr>
          <w:rFonts w:ascii="Arial" w:hAnsi="Arial" w:cs="Arial"/>
          <w:sz w:val="20"/>
          <w:szCs w:val="20"/>
        </w:rPr>
        <w:t>° O atendimento das alíneas “c” e “d” do inciso I deste artigo, será dispensado quando o armazenamento de recipientes transportáveis de GLP ocorrer na forma das alíneas “e” e “f” do mesmo inciso.</w:t>
      </w:r>
    </w:p>
    <w:p w:rsidR="006F09E4" w:rsidRDefault="006F09E4" w:rsidP="00026CC3">
      <w:pPr>
        <w:spacing w:after="0" w:line="240" w:lineRule="auto"/>
        <w:ind w:firstLine="4502"/>
        <w:jc w:val="both"/>
        <w:rPr>
          <w:rFonts w:ascii="Arial" w:hAnsi="Arial" w:cs="Arial"/>
          <w:sz w:val="20"/>
          <w:szCs w:val="20"/>
        </w:rPr>
      </w:pPr>
    </w:p>
    <w:p w:rsidR="006F09E4" w:rsidRDefault="006F09E4" w:rsidP="00026CC3">
      <w:pPr>
        <w:spacing w:after="0" w:line="240" w:lineRule="auto"/>
        <w:ind w:firstLine="4502"/>
        <w:jc w:val="both"/>
        <w:rPr>
          <w:rFonts w:ascii="Arial" w:hAnsi="Arial" w:cs="Arial"/>
          <w:sz w:val="20"/>
          <w:szCs w:val="20"/>
        </w:rPr>
      </w:pPr>
      <w:r w:rsidRPr="006F09E4">
        <w:rPr>
          <w:rFonts w:ascii="Arial" w:hAnsi="Arial" w:cs="Arial"/>
          <w:b/>
          <w:sz w:val="20"/>
          <w:szCs w:val="20"/>
        </w:rPr>
        <w:t>Art. 7°</w:t>
      </w:r>
      <w:r>
        <w:rPr>
          <w:rFonts w:ascii="Arial" w:hAnsi="Arial" w:cs="Arial"/>
          <w:b/>
          <w:sz w:val="20"/>
          <w:szCs w:val="20"/>
        </w:rPr>
        <w:t xml:space="preserve"> </w:t>
      </w:r>
      <w:r w:rsidRPr="006F09E4">
        <w:rPr>
          <w:rFonts w:ascii="Arial" w:hAnsi="Arial" w:cs="Arial"/>
          <w:sz w:val="20"/>
          <w:szCs w:val="20"/>
        </w:rPr>
        <w:t>Nenhum imóvel poderá ser ocupado ou utilizado para instalação e funcionamento de atividade de armazenamento e comercialização</w:t>
      </w:r>
      <w:r>
        <w:rPr>
          <w:rFonts w:ascii="Arial" w:hAnsi="Arial" w:cs="Arial"/>
          <w:sz w:val="20"/>
          <w:szCs w:val="20"/>
        </w:rPr>
        <w:t xml:space="preserve"> de botijões de gás liquefeito de petróleo (GLP), sem prévia de Licença de Funcionamento expedida pela Prefeitura.</w:t>
      </w:r>
    </w:p>
    <w:p w:rsidR="006F09E4" w:rsidRDefault="006F09E4" w:rsidP="00026CC3">
      <w:pPr>
        <w:spacing w:after="0" w:line="240" w:lineRule="auto"/>
        <w:ind w:firstLine="4502"/>
        <w:jc w:val="both"/>
        <w:rPr>
          <w:rFonts w:ascii="Arial" w:hAnsi="Arial" w:cs="Arial"/>
          <w:sz w:val="20"/>
          <w:szCs w:val="20"/>
        </w:rPr>
      </w:pPr>
    </w:p>
    <w:p w:rsidR="006F09E4" w:rsidRDefault="006F09E4" w:rsidP="00026CC3">
      <w:pPr>
        <w:spacing w:after="0" w:line="240" w:lineRule="auto"/>
        <w:ind w:firstLine="4502"/>
        <w:jc w:val="both"/>
        <w:rPr>
          <w:rFonts w:ascii="Arial" w:hAnsi="Arial" w:cs="Arial"/>
          <w:sz w:val="20"/>
          <w:szCs w:val="20"/>
        </w:rPr>
      </w:pPr>
      <w:r w:rsidRPr="006F09E4">
        <w:rPr>
          <w:rFonts w:ascii="Arial" w:hAnsi="Arial" w:cs="Arial"/>
          <w:b/>
          <w:sz w:val="20"/>
          <w:szCs w:val="20"/>
        </w:rPr>
        <w:t>Parágrafo único.</w:t>
      </w:r>
      <w:r>
        <w:rPr>
          <w:rFonts w:ascii="Arial" w:hAnsi="Arial" w:cs="Arial"/>
          <w:b/>
          <w:sz w:val="20"/>
          <w:szCs w:val="20"/>
        </w:rPr>
        <w:t xml:space="preserve"> </w:t>
      </w:r>
      <w:r w:rsidRPr="006F09E4">
        <w:rPr>
          <w:rFonts w:ascii="Arial" w:hAnsi="Arial" w:cs="Arial"/>
          <w:sz w:val="20"/>
          <w:szCs w:val="20"/>
        </w:rPr>
        <w:t>A expedição da licença a que se refere</w:t>
      </w:r>
      <w:r>
        <w:rPr>
          <w:rFonts w:ascii="Arial" w:hAnsi="Arial" w:cs="Arial"/>
          <w:sz w:val="20"/>
          <w:szCs w:val="20"/>
        </w:rPr>
        <w:t xml:space="preserve"> esse artigo ficará condicionada ao atendimento das normas e condições de Segurança definido</w:t>
      </w:r>
      <w:r w:rsidR="004F5FDC">
        <w:rPr>
          <w:rFonts w:ascii="Arial" w:hAnsi="Arial" w:cs="Arial"/>
          <w:sz w:val="20"/>
          <w:szCs w:val="20"/>
        </w:rPr>
        <w:t xml:space="preserve"> pela presente Lei, bem como, às normas pertinentes em vigor.</w:t>
      </w:r>
    </w:p>
    <w:p w:rsidR="004F5FDC" w:rsidRDefault="004F5FDC" w:rsidP="00026CC3">
      <w:pPr>
        <w:spacing w:after="0" w:line="240" w:lineRule="auto"/>
        <w:ind w:firstLine="4502"/>
        <w:jc w:val="both"/>
        <w:rPr>
          <w:rFonts w:ascii="Arial" w:hAnsi="Arial" w:cs="Arial"/>
          <w:sz w:val="20"/>
          <w:szCs w:val="20"/>
        </w:rPr>
      </w:pPr>
    </w:p>
    <w:p w:rsidR="004F5FDC" w:rsidRDefault="004F5FDC" w:rsidP="00026CC3">
      <w:pPr>
        <w:spacing w:after="0" w:line="240" w:lineRule="auto"/>
        <w:ind w:firstLine="4502"/>
        <w:jc w:val="both"/>
        <w:rPr>
          <w:rFonts w:ascii="Arial" w:hAnsi="Arial" w:cs="Arial"/>
          <w:sz w:val="20"/>
          <w:szCs w:val="20"/>
        </w:rPr>
      </w:pPr>
      <w:r w:rsidRPr="004F5FDC">
        <w:rPr>
          <w:rFonts w:ascii="Arial" w:hAnsi="Arial" w:cs="Arial"/>
          <w:b/>
          <w:sz w:val="20"/>
          <w:szCs w:val="20"/>
        </w:rPr>
        <w:t xml:space="preserve">Art. 8° </w:t>
      </w:r>
      <w:r w:rsidRPr="004F5FDC">
        <w:rPr>
          <w:rFonts w:ascii="Arial" w:hAnsi="Arial" w:cs="Arial"/>
          <w:sz w:val="20"/>
          <w:szCs w:val="20"/>
        </w:rPr>
        <w:t>A revenda</w:t>
      </w:r>
      <w:r>
        <w:rPr>
          <w:rFonts w:ascii="Arial" w:hAnsi="Arial" w:cs="Arial"/>
          <w:sz w:val="20"/>
          <w:szCs w:val="20"/>
        </w:rPr>
        <w:t xml:space="preserve"> de botijões de gás liquefeito de petróleo</w:t>
      </w:r>
      <w:r w:rsidR="00DC4557">
        <w:rPr>
          <w:rFonts w:ascii="Arial" w:hAnsi="Arial" w:cs="Arial"/>
          <w:sz w:val="20"/>
          <w:szCs w:val="20"/>
        </w:rPr>
        <w:t xml:space="preserve"> (GLP, diretamente no estabelecimento, em domicilio por solicitação do consumidor ou através de veículos automotores que circulem nas vias públicas oferecendo o serviço, somente poderá ser realizada por estabelecimentos comerciais localizados e devidamente licenciados no Município.</w:t>
      </w:r>
    </w:p>
    <w:p w:rsidR="00DC4557" w:rsidRDefault="00DC4557" w:rsidP="00026CC3">
      <w:pPr>
        <w:spacing w:after="0" w:line="240" w:lineRule="auto"/>
        <w:ind w:firstLine="4502"/>
        <w:jc w:val="both"/>
        <w:rPr>
          <w:rFonts w:ascii="Arial" w:hAnsi="Arial" w:cs="Arial"/>
          <w:sz w:val="20"/>
          <w:szCs w:val="20"/>
        </w:rPr>
      </w:pPr>
    </w:p>
    <w:p w:rsidR="00DC4557" w:rsidRDefault="00DC4557" w:rsidP="00026CC3">
      <w:pPr>
        <w:spacing w:after="0" w:line="240" w:lineRule="auto"/>
        <w:ind w:firstLine="4502"/>
        <w:jc w:val="both"/>
        <w:rPr>
          <w:rFonts w:ascii="Arial" w:hAnsi="Arial" w:cs="Arial"/>
          <w:sz w:val="20"/>
          <w:szCs w:val="20"/>
        </w:rPr>
      </w:pPr>
      <w:r w:rsidRPr="00DC4557">
        <w:rPr>
          <w:rFonts w:ascii="Arial" w:hAnsi="Arial" w:cs="Arial"/>
          <w:b/>
          <w:sz w:val="20"/>
          <w:szCs w:val="20"/>
        </w:rPr>
        <w:t>Parágrafo único</w:t>
      </w:r>
      <w:r w:rsidRPr="00DC4557">
        <w:rPr>
          <w:rFonts w:ascii="Arial" w:hAnsi="Arial" w:cs="Arial"/>
          <w:sz w:val="20"/>
          <w:szCs w:val="20"/>
        </w:rPr>
        <w:t>. Fica autorizada a utilização de motocicleta para a revenda e entrega de gás de cozinha, mediante orientações</w:t>
      </w:r>
      <w:r>
        <w:rPr>
          <w:rFonts w:ascii="Arial" w:hAnsi="Arial" w:cs="Arial"/>
          <w:sz w:val="20"/>
          <w:szCs w:val="20"/>
        </w:rPr>
        <w:t xml:space="preserve"> do CONTRAN (Conselho Nacional de Trânsito).</w:t>
      </w:r>
    </w:p>
    <w:p w:rsidR="00DC4557" w:rsidRDefault="00DC4557" w:rsidP="00026CC3">
      <w:pPr>
        <w:spacing w:after="0" w:line="240" w:lineRule="auto"/>
        <w:ind w:firstLine="4502"/>
        <w:jc w:val="both"/>
        <w:rPr>
          <w:rFonts w:ascii="Arial" w:hAnsi="Arial" w:cs="Arial"/>
          <w:sz w:val="20"/>
          <w:szCs w:val="20"/>
        </w:rPr>
      </w:pPr>
    </w:p>
    <w:p w:rsidR="00DC4557" w:rsidRDefault="00DC4557" w:rsidP="00026CC3">
      <w:pPr>
        <w:spacing w:after="0" w:line="240" w:lineRule="auto"/>
        <w:ind w:firstLine="4502"/>
        <w:jc w:val="both"/>
        <w:rPr>
          <w:rFonts w:ascii="Arial" w:hAnsi="Arial" w:cs="Arial"/>
          <w:sz w:val="20"/>
          <w:szCs w:val="20"/>
        </w:rPr>
      </w:pPr>
      <w:r w:rsidRPr="00DC4557">
        <w:rPr>
          <w:rFonts w:ascii="Arial" w:hAnsi="Arial" w:cs="Arial"/>
          <w:b/>
          <w:sz w:val="20"/>
          <w:szCs w:val="20"/>
        </w:rPr>
        <w:t>Art. 9°</w:t>
      </w:r>
      <w:r>
        <w:rPr>
          <w:rFonts w:ascii="Arial" w:hAnsi="Arial" w:cs="Arial"/>
          <w:sz w:val="20"/>
          <w:szCs w:val="20"/>
        </w:rPr>
        <w:t xml:space="preserve"> A inobservância das disposições desta lei, sujeitará ao infrator as seguintes penalidades:</w:t>
      </w:r>
    </w:p>
    <w:p w:rsidR="00FC2055" w:rsidRDefault="00FC2055" w:rsidP="00026CC3">
      <w:pPr>
        <w:spacing w:after="0" w:line="240" w:lineRule="auto"/>
        <w:ind w:firstLine="4502"/>
        <w:jc w:val="both"/>
        <w:rPr>
          <w:rFonts w:ascii="Arial" w:hAnsi="Arial" w:cs="Arial"/>
          <w:b/>
          <w:sz w:val="20"/>
          <w:szCs w:val="20"/>
        </w:rPr>
      </w:pPr>
    </w:p>
    <w:p w:rsidR="00DC4557" w:rsidRDefault="008C2903" w:rsidP="00026CC3">
      <w:pPr>
        <w:spacing w:after="0" w:line="240" w:lineRule="auto"/>
        <w:ind w:firstLine="4502"/>
        <w:jc w:val="both"/>
        <w:rPr>
          <w:rFonts w:ascii="Arial" w:hAnsi="Arial" w:cs="Arial"/>
          <w:sz w:val="20"/>
          <w:szCs w:val="20"/>
        </w:rPr>
      </w:pPr>
      <w:r w:rsidRPr="008C2903">
        <w:rPr>
          <w:rFonts w:ascii="Arial" w:hAnsi="Arial" w:cs="Arial"/>
          <w:b/>
          <w:sz w:val="20"/>
          <w:szCs w:val="20"/>
        </w:rPr>
        <w:t>I</w:t>
      </w:r>
      <w:r w:rsidR="00026CC3">
        <w:rPr>
          <w:rFonts w:ascii="Arial" w:hAnsi="Arial" w:cs="Arial"/>
          <w:b/>
          <w:sz w:val="20"/>
          <w:szCs w:val="20"/>
        </w:rPr>
        <w:t xml:space="preserve"> </w:t>
      </w:r>
      <w:r w:rsidRPr="008C2903">
        <w:rPr>
          <w:rFonts w:ascii="Arial" w:hAnsi="Arial" w:cs="Arial"/>
          <w:b/>
          <w:sz w:val="20"/>
          <w:szCs w:val="20"/>
        </w:rPr>
        <w:t>-</w:t>
      </w:r>
      <w:r>
        <w:rPr>
          <w:rFonts w:ascii="Arial" w:hAnsi="Arial" w:cs="Arial"/>
          <w:sz w:val="20"/>
          <w:szCs w:val="20"/>
        </w:rPr>
        <w:t xml:space="preserve"> </w:t>
      </w:r>
      <w:r w:rsidR="00DC4557" w:rsidRPr="008C2903">
        <w:rPr>
          <w:rFonts w:ascii="Arial" w:hAnsi="Arial" w:cs="Arial"/>
          <w:sz w:val="20"/>
          <w:szCs w:val="20"/>
        </w:rPr>
        <w:t>Multa de R$ 350,00 (trezentos e cinquenta reais</w:t>
      </w:r>
      <w:r w:rsidRPr="008C2903">
        <w:rPr>
          <w:rFonts w:ascii="Arial" w:hAnsi="Arial" w:cs="Arial"/>
          <w:sz w:val="20"/>
          <w:szCs w:val="20"/>
        </w:rPr>
        <w:t xml:space="preserve">), na falta de </w:t>
      </w:r>
      <w:r>
        <w:rPr>
          <w:rFonts w:ascii="Arial" w:hAnsi="Arial" w:cs="Arial"/>
          <w:sz w:val="20"/>
          <w:szCs w:val="20"/>
        </w:rPr>
        <w:t>Licença de Funcionamento, prevista nesta Lei;</w:t>
      </w:r>
    </w:p>
    <w:p w:rsidR="008C2903" w:rsidRDefault="008C2903" w:rsidP="00026CC3">
      <w:pPr>
        <w:spacing w:after="0" w:line="240" w:lineRule="auto"/>
        <w:ind w:firstLine="4502"/>
        <w:jc w:val="both"/>
        <w:rPr>
          <w:rFonts w:ascii="Arial" w:hAnsi="Arial" w:cs="Arial"/>
          <w:sz w:val="20"/>
          <w:szCs w:val="20"/>
        </w:rPr>
      </w:pPr>
      <w:r w:rsidRPr="008C2903">
        <w:rPr>
          <w:rFonts w:ascii="Arial" w:hAnsi="Arial" w:cs="Arial"/>
          <w:b/>
          <w:sz w:val="20"/>
          <w:szCs w:val="20"/>
        </w:rPr>
        <w:t>II</w:t>
      </w:r>
      <w:r w:rsidR="00026CC3">
        <w:rPr>
          <w:rFonts w:ascii="Arial" w:hAnsi="Arial" w:cs="Arial"/>
          <w:b/>
          <w:sz w:val="20"/>
          <w:szCs w:val="20"/>
        </w:rPr>
        <w:t xml:space="preserve"> </w:t>
      </w:r>
      <w:r w:rsidRPr="008C2903">
        <w:rPr>
          <w:rFonts w:ascii="Arial" w:hAnsi="Arial" w:cs="Arial"/>
          <w:b/>
          <w:sz w:val="20"/>
          <w:szCs w:val="20"/>
        </w:rPr>
        <w:t>-</w:t>
      </w:r>
      <w:r>
        <w:rPr>
          <w:rFonts w:ascii="Arial" w:hAnsi="Arial" w:cs="Arial"/>
          <w:sz w:val="20"/>
          <w:szCs w:val="20"/>
        </w:rPr>
        <w:t xml:space="preserve"> Multa de R$ 500,00 (quinhentos reais) pelo descumprimento das demais disposições desta Lei;</w:t>
      </w:r>
    </w:p>
    <w:p w:rsidR="008C2903" w:rsidRDefault="008C2903" w:rsidP="00026CC3">
      <w:pPr>
        <w:spacing w:after="0" w:line="240" w:lineRule="auto"/>
        <w:ind w:firstLine="4502"/>
        <w:jc w:val="both"/>
        <w:rPr>
          <w:rFonts w:ascii="Arial" w:hAnsi="Arial" w:cs="Arial"/>
          <w:sz w:val="20"/>
          <w:szCs w:val="20"/>
        </w:rPr>
      </w:pPr>
      <w:r w:rsidRPr="008C2903">
        <w:rPr>
          <w:rFonts w:ascii="Arial" w:hAnsi="Arial" w:cs="Arial"/>
          <w:b/>
          <w:sz w:val="20"/>
          <w:szCs w:val="20"/>
        </w:rPr>
        <w:t>III</w:t>
      </w:r>
      <w:r w:rsidR="00026CC3">
        <w:rPr>
          <w:rFonts w:ascii="Arial" w:hAnsi="Arial" w:cs="Arial"/>
          <w:b/>
          <w:sz w:val="20"/>
          <w:szCs w:val="20"/>
        </w:rPr>
        <w:t xml:space="preserve"> </w:t>
      </w:r>
      <w:r w:rsidRPr="008C2903">
        <w:rPr>
          <w:rFonts w:ascii="Arial" w:hAnsi="Arial" w:cs="Arial"/>
          <w:b/>
          <w:sz w:val="20"/>
          <w:szCs w:val="20"/>
        </w:rPr>
        <w:t>-</w:t>
      </w:r>
      <w:r>
        <w:rPr>
          <w:rFonts w:ascii="Arial" w:hAnsi="Arial" w:cs="Arial"/>
          <w:b/>
          <w:sz w:val="20"/>
          <w:szCs w:val="20"/>
        </w:rPr>
        <w:t xml:space="preserve"> </w:t>
      </w:r>
      <w:r w:rsidRPr="008C2903">
        <w:rPr>
          <w:rFonts w:ascii="Arial" w:hAnsi="Arial" w:cs="Arial"/>
          <w:sz w:val="20"/>
          <w:szCs w:val="20"/>
        </w:rPr>
        <w:t>Os</w:t>
      </w:r>
      <w:r>
        <w:rPr>
          <w:rFonts w:ascii="Arial" w:hAnsi="Arial" w:cs="Arial"/>
          <w:sz w:val="20"/>
          <w:szCs w:val="20"/>
        </w:rPr>
        <w:t xml:space="preserve"> veículos automotores utilizados para revenda, que descumprirem as disposições da presente Lei, serão apreendidos.</w:t>
      </w:r>
    </w:p>
    <w:p w:rsidR="008C2903" w:rsidRDefault="008C2903" w:rsidP="00026CC3">
      <w:pPr>
        <w:spacing w:after="0" w:line="240" w:lineRule="auto"/>
        <w:ind w:firstLine="4502"/>
        <w:jc w:val="both"/>
        <w:rPr>
          <w:rFonts w:ascii="Arial" w:hAnsi="Arial" w:cs="Arial"/>
          <w:sz w:val="20"/>
          <w:szCs w:val="20"/>
        </w:rPr>
      </w:pPr>
    </w:p>
    <w:p w:rsidR="008C2903" w:rsidRDefault="008C2903" w:rsidP="00026CC3">
      <w:pPr>
        <w:spacing w:after="0" w:line="240" w:lineRule="auto"/>
        <w:ind w:firstLine="4502"/>
        <w:jc w:val="both"/>
        <w:rPr>
          <w:rFonts w:ascii="Arial" w:hAnsi="Arial" w:cs="Arial"/>
          <w:sz w:val="20"/>
          <w:szCs w:val="20"/>
        </w:rPr>
      </w:pPr>
      <w:r w:rsidRPr="008C2903">
        <w:rPr>
          <w:rFonts w:ascii="Arial" w:hAnsi="Arial" w:cs="Arial"/>
          <w:b/>
          <w:sz w:val="20"/>
          <w:szCs w:val="20"/>
        </w:rPr>
        <w:t>§</w:t>
      </w:r>
      <w:r w:rsidR="008A7AC7">
        <w:rPr>
          <w:rFonts w:ascii="Arial" w:hAnsi="Arial" w:cs="Arial"/>
          <w:b/>
          <w:sz w:val="20"/>
          <w:szCs w:val="20"/>
        </w:rPr>
        <w:t xml:space="preserve"> </w:t>
      </w:r>
      <w:r w:rsidRPr="008C2903">
        <w:rPr>
          <w:rFonts w:ascii="Arial" w:hAnsi="Arial" w:cs="Arial"/>
          <w:b/>
          <w:sz w:val="20"/>
          <w:szCs w:val="20"/>
        </w:rPr>
        <w:t>1°</w:t>
      </w:r>
      <w:r>
        <w:rPr>
          <w:rFonts w:ascii="Arial" w:hAnsi="Arial" w:cs="Arial"/>
          <w:sz w:val="20"/>
          <w:szCs w:val="20"/>
        </w:rPr>
        <w:t xml:space="preserve"> Na reincidência das penalidades específicas a multa prevista nos incisos I e II, será aplicada em dobro. </w:t>
      </w:r>
    </w:p>
    <w:p w:rsidR="008C2903" w:rsidRDefault="008C2903" w:rsidP="00026CC3">
      <w:pPr>
        <w:spacing w:after="0" w:line="240" w:lineRule="auto"/>
        <w:ind w:firstLine="4502"/>
        <w:jc w:val="both"/>
        <w:rPr>
          <w:rFonts w:ascii="Arial" w:hAnsi="Arial" w:cs="Arial"/>
          <w:sz w:val="20"/>
          <w:szCs w:val="20"/>
        </w:rPr>
      </w:pPr>
    </w:p>
    <w:p w:rsidR="008C2903" w:rsidRDefault="008C2903" w:rsidP="00026CC3">
      <w:pPr>
        <w:spacing w:after="0" w:line="240" w:lineRule="auto"/>
        <w:ind w:firstLine="4502"/>
        <w:jc w:val="both"/>
        <w:rPr>
          <w:rFonts w:ascii="Arial" w:hAnsi="Arial" w:cs="Arial"/>
          <w:sz w:val="20"/>
          <w:szCs w:val="20"/>
        </w:rPr>
      </w:pPr>
      <w:r w:rsidRPr="008C2903">
        <w:rPr>
          <w:rFonts w:ascii="Arial" w:hAnsi="Arial" w:cs="Arial"/>
          <w:b/>
          <w:sz w:val="20"/>
          <w:szCs w:val="20"/>
        </w:rPr>
        <w:t>§</w:t>
      </w:r>
      <w:r w:rsidR="008A7AC7">
        <w:rPr>
          <w:rFonts w:ascii="Arial" w:hAnsi="Arial" w:cs="Arial"/>
          <w:b/>
          <w:sz w:val="20"/>
          <w:szCs w:val="20"/>
        </w:rPr>
        <w:t xml:space="preserve"> </w:t>
      </w:r>
      <w:r w:rsidRPr="008C2903">
        <w:rPr>
          <w:rFonts w:ascii="Arial" w:hAnsi="Arial" w:cs="Arial"/>
          <w:b/>
          <w:sz w:val="20"/>
          <w:szCs w:val="20"/>
        </w:rPr>
        <w:t>2°</w:t>
      </w:r>
      <w:r>
        <w:rPr>
          <w:rFonts w:ascii="Arial" w:hAnsi="Arial" w:cs="Arial"/>
          <w:b/>
          <w:sz w:val="20"/>
          <w:szCs w:val="20"/>
        </w:rPr>
        <w:t xml:space="preserve"> </w:t>
      </w:r>
      <w:r w:rsidRPr="008C2903">
        <w:rPr>
          <w:rFonts w:ascii="Arial" w:hAnsi="Arial" w:cs="Arial"/>
          <w:sz w:val="20"/>
          <w:szCs w:val="20"/>
        </w:rPr>
        <w:t>Caso persista</w:t>
      </w:r>
      <w:r>
        <w:rPr>
          <w:rFonts w:ascii="Arial" w:hAnsi="Arial" w:cs="Arial"/>
          <w:sz w:val="20"/>
          <w:szCs w:val="20"/>
        </w:rPr>
        <w:t xml:space="preserve"> a reincidência das penalidades, será cassada a Licença de Funcionamento e aplicada</w:t>
      </w:r>
      <w:r w:rsidR="008A7AC7">
        <w:rPr>
          <w:rFonts w:ascii="Arial" w:hAnsi="Arial" w:cs="Arial"/>
          <w:sz w:val="20"/>
          <w:szCs w:val="20"/>
        </w:rPr>
        <w:t xml:space="preserve"> uma multa de 3 (três) vezes o valor da última multa aplicada.</w:t>
      </w:r>
    </w:p>
    <w:p w:rsidR="008A7AC7" w:rsidRDefault="008A7AC7" w:rsidP="00026CC3">
      <w:pPr>
        <w:spacing w:after="0" w:line="240" w:lineRule="auto"/>
        <w:ind w:firstLine="4502"/>
        <w:jc w:val="both"/>
        <w:rPr>
          <w:rFonts w:ascii="Arial" w:hAnsi="Arial" w:cs="Arial"/>
          <w:sz w:val="20"/>
          <w:szCs w:val="20"/>
        </w:rPr>
      </w:pPr>
    </w:p>
    <w:p w:rsidR="008A7AC7" w:rsidRPr="008A7AC7" w:rsidRDefault="008A7AC7" w:rsidP="00026CC3">
      <w:pPr>
        <w:spacing w:after="0" w:line="240" w:lineRule="auto"/>
        <w:ind w:firstLine="4502"/>
        <w:jc w:val="both"/>
        <w:rPr>
          <w:rFonts w:ascii="Arial" w:hAnsi="Arial" w:cs="Arial"/>
          <w:sz w:val="20"/>
          <w:szCs w:val="20"/>
        </w:rPr>
      </w:pPr>
      <w:r w:rsidRPr="008A7AC7">
        <w:rPr>
          <w:rFonts w:ascii="Arial" w:hAnsi="Arial" w:cs="Arial"/>
          <w:b/>
          <w:sz w:val="20"/>
          <w:szCs w:val="20"/>
        </w:rPr>
        <w:t>§ 3°</w:t>
      </w:r>
      <w:r>
        <w:rPr>
          <w:rFonts w:ascii="Arial" w:hAnsi="Arial" w:cs="Arial"/>
          <w:b/>
          <w:sz w:val="20"/>
          <w:szCs w:val="20"/>
        </w:rPr>
        <w:t xml:space="preserve"> </w:t>
      </w:r>
      <w:r w:rsidRPr="008A7AC7">
        <w:rPr>
          <w:rFonts w:ascii="Arial" w:hAnsi="Arial" w:cs="Arial"/>
          <w:sz w:val="20"/>
          <w:szCs w:val="20"/>
        </w:rPr>
        <w:t>A aplicação das penalidades mencionadas no “caput” deste artigo, não prejudicam aplicações de outras sanções civis e penais previstas na legislação pertinente.</w:t>
      </w:r>
    </w:p>
    <w:p w:rsidR="008C2903" w:rsidRDefault="008C2903" w:rsidP="00026CC3">
      <w:pPr>
        <w:spacing w:after="0" w:line="240" w:lineRule="auto"/>
        <w:ind w:firstLine="4502"/>
        <w:jc w:val="both"/>
        <w:rPr>
          <w:rFonts w:ascii="Arial" w:hAnsi="Arial" w:cs="Arial"/>
          <w:sz w:val="20"/>
          <w:szCs w:val="20"/>
        </w:rPr>
      </w:pPr>
    </w:p>
    <w:p w:rsidR="008A7AC7" w:rsidRDefault="008A7AC7" w:rsidP="00026CC3">
      <w:pPr>
        <w:spacing w:after="0" w:line="240" w:lineRule="auto"/>
        <w:ind w:firstLine="4502"/>
        <w:jc w:val="both"/>
        <w:rPr>
          <w:rFonts w:ascii="Arial" w:hAnsi="Arial" w:cs="Arial"/>
          <w:sz w:val="20"/>
          <w:szCs w:val="20"/>
        </w:rPr>
      </w:pPr>
      <w:r w:rsidRPr="008A7AC7">
        <w:rPr>
          <w:rFonts w:ascii="Arial" w:hAnsi="Arial" w:cs="Arial"/>
          <w:b/>
          <w:sz w:val="20"/>
          <w:szCs w:val="20"/>
        </w:rPr>
        <w:t>§ 4°</w:t>
      </w:r>
      <w:r>
        <w:rPr>
          <w:rFonts w:ascii="Arial" w:hAnsi="Arial" w:cs="Arial"/>
          <w:b/>
          <w:sz w:val="20"/>
          <w:szCs w:val="20"/>
        </w:rPr>
        <w:t xml:space="preserve"> </w:t>
      </w:r>
      <w:r w:rsidRPr="008A7AC7">
        <w:rPr>
          <w:rFonts w:ascii="Arial" w:hAnsi="Arial" w:cs="Arial"/>
          <w:sz w:val="20"/>
          <w:szCs w:val="20"/>
        </w:rPr>
        <w:t xml:space="preserve">Ficam sujeitas às penalidades da presente lei as distribuidoras de gás liquefeito de petróleo </w:t>
      </w:r>
      <w:r>
        <w:rPr>
          <w:rFonts w:ascii="Arial" w:hAnsi="Arial" w:cs="Arial"/>
          <w:sz w:val="20"/>
          <w:szCs w:val="20"/>
        </w:rPr>
        <w:t>(GLP) que fornecem o produto a estabelecimentos que não possuam prévia licença de funcionamento outorgada pela Prefeitura, nos termos do artigo 7°.</w:t>
      </w:r>
    </w:p>
    <w:p w:rsidR="008A7AC7" w:rsidRDefault="008A7AC7" w:rsidP="00026CC3">
      <w:pPr>
        <w:spacing w:after="0" w:line="240" w:lineRule="auto"/>
        <w:ind w:firstLine="4502"/>
        <w:jc w:val="both"/>
        <w:rPr>
          <w:rFonts w:ascii="Arial" w:hAnsi="Arial" w:cs="Arial"/>
          <w:sz w:val="20"/>
          <w:szCs w:val="20"/>
        </w:rPr>
      </w:pPr>
    </w:p>
    <w:p w:rsidR="00B66932" w:rsidRDefault="008A7AC7" w:rsidP="00026CC3">
      <w:pPr>
        <w:spacing w:after="0" w:line="240" w:lineRule="auto"/>
        <w:ind w:firstLine="4502"/>
        <w:jc w:val="both"/>
        <w:rPr>
          <w:rFonts w:ascii="Arial" w:hAnsi="Arial" w:cs="Arial"/>
          <w:sz w:val="20"/>
          <w:szCs w:val="20"/>
        </w:rPr>
      </w:pPr>
      <w:r w:rsidRPr="008A7AC7">
        <w:rPr>
          <w:rFonts w:ascii="Arial" w:hAnsi="Arial" w:cs="Arial"/>
          <w:b/>
          <w:sz w:val="20"/>
          <w:szCs w:val="20"/>
        </w:rPr>
        <w:t>§ 5</w:t>
      </w:r>
      <w:r w:rsidRPr="008A7AC7">
        <w:rPr>
          <w:rFonts w:ascii="Arial" w:hAnsi="Arial" w:cs="Arial"/>
          <w:sz w:val="20"/>
          <w:szCs w:val="20"/>
        </w:rPr>
        <w:t>° Fica</w:t>
      </w:r>
      <w:r>
        <w:rPr>
          <w:rFonts w:ascii="Arial" w:hAnsi="Arial" w:cs="Arial"/>
          <w:sz w:val="20"/>
          <w:szCs w:val="20"/>
        </w:rPr>
        <w:t xml:space="preserve"> proibida a revenda e distribuição de gás liquefeito de petróleo sem prévio</w:t>
      </w:r>
      <w:r w:rsidR="00B66932">
        <w:rPr>
          <w:rFonts w:ascii="Arial" w:hAnsi="Arial" w:cs="Arial"/>
          <w:sz w:val="20"/>
          <w:szCs w:val="20"/>
        </w:rPr>
        <w:t xml:space="preserve"> cadastro junto à Agência Nacional de Petróleo (ANP).</w:t>
      </w:r>
    </w:p>
    <w:p w:rsidR="00B66932" w:rsidRDefault="00B66932" w:rsidP="00026CC3">
      <w:pPr>
        <w:spacing w:after="0" w:line="240" w:lineRule="auto"/>
        <w:jc w:val="both"/>
        <w:rPr>
          <w:rFonts w:ascii="Arial" w:hAnsi="Arial" w:cs="Arial"/>
          <w:sz w:val="20"/>
          <w:szCs w:val="20"/>
        </w:rPr>
      </w:pPr>
    </w:p>
    <w:p w:rsidR="008A7AC7" w:rsidRDefault="00B66932" w:rsidP="00026CC3">
      <w:pPr>
        <w:spacing w:after="0" w:line="240" w:lineRule="auto"/>
        <w:ind w:firstLine="4502"/>
        <w:jc w:val="both"/>
        <w:rPr>
          <w:rFonts w:ascii="Arial" w:hAnsi="Arial" w:cs="Arial"/>
          <w:sz w:val="20"/>
          <w:szCs w:val="20"/>
        </w:rPr>
      </w:pPr>
      <w:r w:rsidRPr="00B66932">
        <w:rPr>
          <w:rFonts w:ascii="Arial" w:hAnsi="Arial" w:cs="Arial"/>
          <w:b/>
          <w:sz w:val="20"/>
          <w:szCs w:val="20"/>
        </w:rPr>
        <w:t xml:space="preserve">§ 6° </w:t>
      </w:r>
      <w:r w:rsidRPr="00B66932">
        <w:rPr>
          <w:rFonts w:ascii="Arial" w:hAnsi="Arial" w:cs="Arial"/>
          <w:sz w:val="20"/>
          <w:szCs w:val="20"/>
        </w:rPr>
        <w:t>O valor das multas</w:t>
      </w:r>
      <w:r>
        <w:rPr>
          <w:rFonts w:ascii="Arial" w:hAnsi="Arial" w:cs="Arial"/>
          <w:sz w:val="20"/>
          <w:szCs w:val="20"/>
        </w:rPr>
        <w:t xml:space="preserve"> de que tratam o inciso I e II</w:t>
      </w:r>
      <w:r w:rsidR="00C35D75">
        <w:rPr>
          <w:rFonts w:ascii="Arial" w:hAnsi="Arial" w:cs="Arial"/>
          <w:sz w:val="20"/>
          <w:szCs w:val="20"/>
        </w:rPr>
        <w:t xml:space="preserve"> </w:t>
      </w:r>
      <w:r>
        <w:rPr>
          <w:rFonts w:ascii="Arial" w:hAnsi="Arial" w:cs="Arial"/>
          <w:sz w:val="20"/>
          <w:szCs w:val="20"/>
        </w:rPr>
        <w:t>deste artigo, sofrerá atualização de valores anualmente de acordo com a variação do IGP</w:t>
      </w:r>
      <w:r w:rsidR="00C35D75">
        <w:rPr>
          <w:rFonts w:ascii="Arial" w:hAnsi="Arial" w:cs="Arial"/>
          <w:sz w:val="20"/>
          <w:szCs w:val="20"/>
        </w:rPr>
        <w:t xml:space="preserve"> – Índice Geral de Preços, divulgado pela Fundação Getúlio Vargas e em havendo sua extinção será adotado outro índice oficial similar.</w:t>
      </w:r>
    </w:p>
    <w:p w:rsidR="00C35D75" w:rsidRDefault="00C35D75" w:rsidP="00026CC3">
      <w:pPr>
        <w:spacing w:after="0" w:line="240" w:lineRule="auto"/>
        <w:ind w:firstLine="4502"/>
        <w:jc w:val="both"/>
        <w:rPr>
          <w:rFonts w:ascii="Arial" w:hAnsi="Arial" w:cs="Arial"/>
          <w:sz w:val="20"/>
          <w:szCs w:val="20"/>
        </w:rPr>
      </w:pPr>
    </w:p>
    <w:p w:rsidR="00C35D75" w:rsidRDefault="00C35D75" w:rsidP="00026CC3">
      <w:pPr>
        <w:spacing w:after="0" w:line="240" w:lineRule="auto"/>
        <w:ind w:firstLine="4502"/>
        <w:jc w:val="both"/>
        <w:rPr>
          <w:rFonts w:ascii="Arial" w:hAnsi="Arial" w:cs="Arial"/>
          <w:sz w:val="20"/>
          <w:szCs w:val="20"/>
        </w:rPr>
      </w:pPr>
      <w:r w:rsidRPr="00714BC3">
        <w:rPr>
          <w:rFonts w:ascii="Arial" w:hAnsi="Arial" w:cs="Arial"/>
          <w:b/>
          <w:sz w:val="20"/>
          <w:szCs w:val="20"/>
        </w:rPr>
        <w:t>Art. 10</w:t>
      </w:r>
      <w:r w:rsidR="00714BC3" w:rsidRPr="00714BC3">
        <w:rPr>
          <w:rFonts w:ascii="Arial" w:hAnsi="Arial" w:cs="Arial"/>
          <w:b/>
          <w:sz w:val="20"/>
          <w:szCs w:val="20"/>
        </w:rPr>
        <w:t>.</w:t>
      </w:r>
      <w:r>
        <w:rPr>
          <w:rFonts w:ascii="Arial" w:hAnsi="Arial" w:cs="Arial"/>
          <w:sz w:val="20"/>
          <w:szCs w:val="20"/>
        </w:rPr>
        <w:t xml:space="preserve"> O armazenamento de botijões de gás liquefeito de petróleo (GLP), sem prévia Licença de Funcionamento sujeitará o infrator, além das penalidades previstas no artigo anterior</w:t>
      </w:r>
      <w:r w:rsidR="00714BC3">
        <w:rPr>
          <w:rFonts w:ascii="Arial" w:hAnsi="Arial" w:cs="Arial"/>
          <w:sz w:val="20"/>
          <w:szCs w:val="20"/>
        </w:rPr>
        <w:t>, a apreensão dos botijões em depósitos, o mesmo ocorrendo quando do armazenamento de forma irregular.</w:t>
      </w:r>
    </w:p>
    <w:p w:rsidR="00714BC3" w:rsidRDefault="00714BC3" w:rsidP="00026CC3">
      <w:pPr>
        <w:spacing w:after="0" w:line="240" w:lineRule="auto"/>
        <w:ind w:firstLine="4502"/>
        <w:jc w:val="both"/>
        <w:rPr>
          <w:rFonts w:ascii="Arial" w:hAnsi="Arial" w:cs="Arial"/>
          <w:sz w:val="20"/>
          <w:szCs w:val="20"/>
        </w:rPr>
      </w:pPr>
    </w:p>
    <w:p w:rsidR="00714BC3" w:rsidRDefault="00714BC3" w:rsidP="00026CC3">
      <w:pPr>
        <w:spacing w:after="0" w:line="240" w:lineRule="auto"/>
        <w:ind w:firstLine="4502"/>
        <w:jc w:val="both"/>
        <w:rPr>
          <w:rFonts w:ascii="Arial" w:hAnsi="Arial" w:cs="Arial"/>
          <w:sz w:val="20"/>
          <w:szCs w:val="20"/>
        </w:rPr>
      </w:pPr>
      <w:r w:rsidRPr="00714BC3">
        <w:rPr>
          <w:rFonts w:ascii="Arial" w:hAnsi="Arial" w:cs="Arial"/>
          <w:b/>
          <w:sz w:val="20"/>
          <w:szCs w:val="20"/>
        </w:rPr>
        <w:t>Art. 11.</w:t>
      </w:r>
      <w:r>
        <w:rPr>
          <w:rFonts w:ascii="Arial" w:hAnsi="Arial" w:cs="Arial"/>
          <w:b/>
          <w:sz w:val="20"/>
          <w:szCs w:val="20"/>
        </w:rPr>
        <w:t xml:space="preserve"> </w:t>
      </w:r>
      <w:r w:rsidR="0040632C" w:rsidRPr="0040632C">
        <w:rPr>
          <w:rFonts w:ascii="Arial" w:hAnsi="Arial" w:cs="Arial"/>
          <w:sz w:val="20"/>
          <w:szCs w:val="20"/>
        </w:rPr>
        <w:t>O procedimento da fiscalização municipal, tal como estabelecido</w:t>
      </w:r>
      <w:r w:rsidR="0040632C">
        <w:rPr>
          <w:rFonts w:ascii="Arial" w:hAnsi="Arial" w:cs="Arial"/>
          <w:sz w:val="20"/>
          <w:szCs w:val="20"/>
        </w:rPr>
        <w:t xml:space="preserve"> na presente lei, terá início com a lavratura do auto da infração, através de uma das seguintes modalidades:</w:t>
      </w:r>
    </w:p>
    <w:p w:rsidR="0040632C" w:rsidRDefault="0040632C" w:rsidP="00026CC3">
      <w:pPr>
        <w:spacing w:after="0" w:line="240" w:lineRule="auto"/>
        <w:ind w:firstLine="4502"/>
        <w:jc w:val="both"/>
        <w:rPr>
          <w:rFonts w:ascii="Arial" w:hAnsi="Arial" w:cs="Arial"/>
          <w:sz w:val="20"/>
          <w:szCs w:val="20"/>
        </w:rPr>
      </w:pPr>
    </w:p>
    <w:p w:rsidR="0040632C" w:rsidRDefault="0040632C" w:rsidP="00026CC3">
      <w:pPr>
        <w:spacing w:after="0" w:line="240" w:lineRule="auto"/>
        <w:ind w:firstLine="4502"/>
        <w:jc w:val="both"/>
        <w:rPr>
          <w:rFonts w:ascii="Arial" w:hAnsi="Arial" w:cs="Arial"/>
          <w:sz w:val="20"/>
          <w:szCs w:val="20"/>
        </w:rPr>
      </w:pPr>
      <w:r w:rsidRPr="0040632C">
        <w:rPr>
          <w:rFonts w:ascii="Arial" w:hAnsi="Arial" w:cs="Arial"/>
          <w:b/>
          <w:sz w:val="20"/>
          <w:szCs w:val="20"/>
        </w:rPr>
        <w:t>I</w:t>
      </w:r>
      <w:r>
        <w:rPr>
          <w:rFonts w:ascii="Arial" w:hAnsi="Arial" w:cs="Arial"/>
          <w:b/>
          <w:sz w:val="20"/>
          <w:szCs w:val="20"/>
        </w:rPr>
        <w:t xml:space="preserve"> –</w:t>
      </w:r>
      <w:r w:rsidRPr="0040632C">
        <w:rPr>
          <w:rFonts w:ascii="Arial" w:hAnsi="Arial" w:cs="Arial"/>
          <w:b/>
          <w:sz w:val="20"/>
          <w:szCs w:val="20"/>
        </w:rPr>
        <w:t xml:space="preserve"> </w:t>
      </w:r>
      <w:r w:rsidRPr="0040632C">
        <w:rPr>
          <w:rFonts w:ascii="Arial" w:hAnsi="Arial" w:cs="Arial"/>
          <w:sz w:val="20"/>
          <w:szCs w:val="20"/>
        </w:rPr>
        <w:t>Pessoalmente</w:t>
      </w:r>
      <w:r>
        <w:rPr>
          <w:rFonts w:ascii="Arial" w:hAnsi="Arial" w:cs="Arial"/>
          <w:sz w:val="20"/>
          <w:szCs w:val="20"/>
        </w:rPr>
        <w:t>, no ato da lavratura, mediante entrega de cópia do auto ao infrator, seu representa</w:t>
      </w:r>
      <w:r w:rsidR="002945E8">
        <w:rPr>
          <w:rFonts w:ascii="Arial" w:hAnsi="Arial" w:cs="Arial"/>
          <w:sz w:val="20"/>
          <w:szCs w:val="20"/>
        </w:rPr>
        <w:t xml:space="preserve">nte, mandatório ou preposto, </w:t>
      </w:r>
      <w:r w:rsidR="00026CC3">
        <w:rPr>
          <w:rFonts w:ascii="Arial" w:hAnsi="Arial" w:cs="Arial"/>
          <w:sz w:val="20"/>
          <w:szCs w:val="20"/>
        </w:rPr>
        <w:t>contra-assinatura</w:t>
      </w:r>
      <w:r w:rsidR="002945E8">
        <w:rPr>
          <w:rFonts w:ascii="Arial" w:hAnsi="Arial" w:cs="Arial"/>
          <w:sz w:val="20"/>
          <w:szCs w:val="20"/>
        </w:rPr>
        <w:t>–recibo, datada no original ou menções das circunstâncias de que o mesmo não pode ou se recusou a assinar;</w:t>
      </w:r>
    </w:p>
    <w:p w:rsidR="002945E8" w:rsidRDefault="002945E8" w:rsidP="00026CC3">
      <w:pPr>
        <w:spacing w:after="0" w:line="240" w:lineRule="auto"/>
        <w:ind w:firstLine="4502"/>
        <w:jc w:val="both"/>
        <w:rPr>
          <w:rFonts w:ascii="Arial" w:hAnsi="Arial" w:cs="Arial"/>
          <w:sz w:val="20"/>
          <w:szCs w:val="20"/>
        </w:rPr>
      </w:pPr>
      <w:r w:rsidRPr="002945E8">
        <w:rPr>
          <w:rFonts w:ascii="Arial" w:hAnsi="Arial" w:cs="Arial"/>
          <w:b/>
          <w:sz w:val="20"/>
          <w:szCs w:val="20"/>
        </w:rPr>
        <w:t>II –</w:t>
      </w:r>
      <w:r>
        <w:rPr>
          <w:rFonts w:ascii="Arial" w:hAnsi="Arial" w:cs="Arial"/>
          <w:sz w:val="20"/>
          <w:szCs w:val="20"/>
        </w:rPr>
        <w:t xml:space="preserve"> Por via postal registrada, acompanhada da cópia do destinatário ou pessoa em seu domicílio;</w:t>
      </w:r>
    </w:p>
    <w:p w:rsidR="002945E8" w:rsidRDefault="002945E8" w:rsidP="00026CC3">
      <w:pPr>
        <w:spacing w:after="0" w:line="240" w:lineRule="auto"/>
        <w:ind w:firstLine="4502"/>
        <w:jc w:val="both"/>
        <w:rPr>
          <w:rFonts w:ascii="Arial" w:hAnsi="Arial" w:cs="Arial"/>
          <w:sz w:val="20"/>
          <w:szCs w:val="20"/>
        </w:rPr>
      </w:pPr>
      <w:r w:rsidRPr="002945E8">
        <w:rPr>
          <w:rFonts w:ascii="Arial" w:hAnsi="Arial" w:cs="Arial"/>
          <w:b/>
          <w:sz w:val="20"/>
          <w:szCs w:val="20"/>
        </w:rPr>
        <w:t>III –</w:t>
      </w:r>
      <w:r>
        <w:rPr>
          <w:rFonts w:ascii="Arial" w:hAnsi="Arial" w:cs="Arial"/>
          <w:sz w:val="20"/>
          <w:szCs w:val="20"/>
        </w:rPr>
        <w:t xml:space="preserve"> Por edital, publicado na imprensa do município, no prazo de 5(cinco) dias corridos quando improfícuo qualquer dos meios previstos nos Incisos anteriores.</w:t>
      </w:r>
    </w:p>
    <w:p w:rsidR="002945E8" w:rsidRDefault="002945E8" w:rsidP="00026CC3">
      <w:pPr>
        <w:spacing w:after="0" w:line="240" w:lineRule="auto"/>
        <w:ind w:firstLine="4502"/>
        <w:jc w:val="both"/>
        <w:rPr>
          <w:rFonts w:ascii="Arial" w:hAnsi="Arial" w:cs="Arial"/>
          <w:sz w:val="20"/>
          <w:szCs w:val="20"/>
        </w:rPr>
      </w:pPr>
    </w:p>
    <w:p w:rsidR="002945E8" w:rsidRDefault="002945E8" w:rsidP="00026CC3">
      <w:pPr>
        <w:spacing w:after="0" w:line="240" w:lineRule="auto"/>
        <w:ind w:firstLine="4502"/>
        <w:jc w:val="both"/>
        <w:rPr>
          <w:rFonts w:ascii="Arial" w:hAnsi="Arial" w:cs="Arial"/>
          <w:sz w:val="20"/>
          <w:szCs w:val="20"/>
        </w:rPr>
      </w:pPr>
      <w:r w:rsidRPr="002945E8">
        <w:rPr>
          <w:rFonts w:ascii="Arial" w:hAnsi="Arial" w:cs="Arial"/>
          <w:b/>
          <w:sz w:val="20"/>
          <w:szCs w:val="20"/>
        </w:rPr>
        <w:t>Art. 12.</w:t>
      </w:r>
      <w:r>
        <w:rPr>
          <w:rFonts w:ascii="Arial" w:hAnsi="Arial" w:cs="Arial"/>
          <w:b/>
          <w:sz w:val="20"/>
          <w:szCs w:val="20"/>
        </w:rPr>
        <w:t xml:space="preserve"> </w:t>
      </w:r>
      <w:r w:rsidRPr="002945E8">
        <w:rPr>
          <w:rFonts w:ascii="Arial" w:hAnsi="Arial" w:cs="Arial"/>
          <w:sz w:val="20"/>
          <w:szCs w:val="20"/>
        </w:rPr>
        <w:t>A notificação presume-se aceita:</w:t>
      </w:r>
    </w:p>
    <w:p w:rsidR="008D4B29" w:rsidRDefault="008D4B29" w:rsidP="00026CC3">
      <w:pPr>
        <w:spacing w:after="0" w:line="240" w:lineRule="auto"/>
        <w:ind w:firstLine="4502"/>
        <w:jc w:val="both"/>
        <w:rPr>
          <w:rFonts w:ascii="Arial" w:hAnsi="Arial" w:cs="Arial"/>
          <w:sz w:val="20"/>
          <w:szCs w:val="20"/>
        </w:rPr>
      </w:pPr>
    </w:p>
    <w:p w:rsidR="008D4B29" w:rsidRDefault="008D4B29" w:rsidP="00026CC3">
      <w:pPr>
        <w:spacing w:after="0" w:line="240" w:lineRule="auto"/>
        <w:ind w:firstLine="4502"/>
        <w:jc w:val="both"/>
        <w:rPr>
          <w:rFonts w:ascii="Arial" w:hAnsi="Arial" w:cs="Arial"/>
          <w:sz w:val="20"/>
          <w:szCs w:val="20"/>
        </w:rPr>
      </w:pPr>
      <w:r w:rsidRPr="008D4B29">
        <w:rPr>
          <w:rFonts w:ascii="Arial" w:hAnsi="Arial" w:cs="Arial"/>
          <w:b/>
          <w:sz w:val="20"/>
          <w:szCs w:val="20"/>
        </w:rPr>
        <w:t>I –</w:t>
      </w:r>
      <w:r>
        <w:rPr>
          <w:rFonts w:ascii="Arial" w:hAnsi="Arial" w:cs="Arial"/>
          <w:sz w:val="20"/>
          <w:szCs w:val="20"/>
        </w:rPr>
        <w:t xml:space="preserve"> Quando pessoal, na data do recibo;</w:t>
      </w:r>
    </w:p>
    <w:p w:rsidR="008D4B29" w:rsidRDefault="008D4B29" w:rsidP="00026CC3">
      <w:pPr>
        <w:spacing w:after="0" w:line="240" w:lineRule="auto"/>
        <w:ind w:firstLine="4502"/>
        <w:jc w:val="both"/>
        <w:rPr>
          <w:rFonts w:ascii="Arial" w:hAnsi="Arial" w:cs="Arial"/>
          <w:sz w:val="20"/>
          <w:szCs w:val="20"/>
        </w:rPr>
      </w:pPr>
      <w:r w:rsidRPr="008D4B29">
        <w:rPr>
          <w:rFonts w:ascii="Arial" w:hAnsi="Arial" w:cs="Arial"/>
          <w:b/>
          <w:sz w:val="20"/>
          <w:szCs w:val="20"/>
        </w:rPr>
        <w:t>II –</w:t>
      </w:r>
      <w:r>
        <w:rPr>
          <w:rFonts w:ascii="Arial" w:hAnsi="Arial" w:cs="Arial"/>
          <w:sz w:val="20"/>
          <w:szCs w:val="20"/>
        </w:rPr>
        <w:t xml:space="preserve"> Quando por carta, na data do recibo de volta;</w:t>
      </w:r>
    </w:p>
    <w:p w:rsidR="008D4B29" w:rsidRDefault="008D4B29" w:rsidP="00026CC3">
      <w:pPr>
        <w:spacing w:after="0" w:line="240" w:lineRule="auto"/>
        <w:ind w:firstLine="4502"/>
        <w:jc w:val="both"/>
        <w:rPr>
          <w:rFonts w:ascii="Arial" w:hAnsi="Arial" w:cs="Arial"/>
          <w:sz w:val="20"/>
          <w:szCs w:val="20"/>
        </w:rPr>
      </w:pPr>
      <w:r w:rsidRPr="008D4B29">
        <w:rPr>
          <w:rFonts w:ascii="Arial" w:hAnsi="Arial" w:cs="Arial"/>
          <w:b/>
          <w:sz w:val="20"/>
          <w:szCs w:val="20"/>
        </w:rPr>
        <w:t>III –</w:t>
      </w:r>
      <w:r>
        <w:rPr>
          <w:rFonts w:ascii="Arial" w:hAnsi="Arial" w:cs="Arial"/>
          <w:sz w:val="20"/>
          <w:szCs w:val="20"/>
        </w:rPr>
        <w:t xml:space="preserve"> Quando por edital, no término do prazo, contado esse da data de sua publicação.</w:t>
      </w:r>
    </w:p>
    <w:p w:rsidR="008D4B29" w:rsidRDefault="008D4B29" w:rsidP="00026CC3">
      <w:pPr>
        <w:spacing w:after="0" w:line="240" w:lineRule="auto"/>
        <w:ind w:firstLine="4502"/>
        <w:jc w:val="both"/>
        <w:rPr>
          <w:rFonts w:ascii="Arial" w:hAnsi="Arial" w:cs="Arial"/>
          <w:sz w:val="20"/>
          <w:szCs w:val="20"/>
        </w:rPr>
      </w:pPr>
    </w:p>
    <w:p w:rsidR="008D4B29" w:rsidRDefault="008D4B29" w:rsidP="00026CC3">
      <w:pPr>
        <w:spacing w:after="0" w:line="240" w:lineRule="auto"/>
        <w:ind w:firstLine="4502"/>
        <w:jc w:val="both"/>
        <w:rPr>
          <w:rFonts w:ascii="Arial" w:hAnsi="Arial" w:cs="Arial"/>
          <w:sz w:val="20"/>
          <w:szCs w:val="20"/>
        </w:rPr>
      </w:pPr>
      <w:r w:rsidRPr="008D4B29">
        <w:rPr>
          <w:rFonts w:ascii="Arial" w:hAnsi="Arial" w:cs="Arial"/>
          <w:b/>
          <w:sz w:val="20"/>
          <w:szCs w:val="20"/>
        </w:rPr>
        <w:t>Art. 13.</w:t>
      </w:r>
      <w:r>
        <w:rPr>
          <w:rFonts w:ascii="Arial" w:hAnsi="Arial" w:cs="Arial"/>
          <w:sz w:val="20"/>
          <w:szCs w:val="20"/>
        </w:rPr>
        <w:t xml:space="preserve"> O notificado que não concorda com a penalidade imposta, terá o prazo de 30(trinta) dias corridos, contados do seu recebimento, para proferir recurso.</w:t>
      </w:r>
    </w:p>
    <w:p w:rsidR="008D4B29" w:rsidRDefault="008D4B29" w:rsidP="00026CC3">
      <w:pPr>
        <w:spacing w:after="0" w:line="240" w:lineRule="auto"/>
        <w:ind w:firstLine="4502"/>
        <w:jc w:val="both"/>
        <w:rPr>
          <w:rFonts w:ascii="Arial" w:hAnsi="Arial" w:cs="Arial"/>
          <w:sz w:val="20"/>
          <w:szCs w:val="20"/>
        </w:rPr>
      </w:pPr>
    </w:p>
    <w:p w:rsidR="008D4B29" w:rsidRDefault="008D4B29" w:rsidP="00026CC3">
      <w:pPr>
        <w:spacing w:after="0" w:line="240" w:lineRule="auto"/>
        <w:ind w:firstLine="4502"/>
        <w:jc w:val="both"/>
        <w:rPr>
          <w:rFonts w:ascii="Arial" w:hAnsi="Arial" w:cs="Arial"/>
          <w:sz w:val="20"/>
          <w:szCs w:val="20"/>
        </w:rPr>
      </w:pPr>
      <w:r w:rsidRPr="008D4B29">
        <w:rPr>
          <w:rFonts w:ascii="Arial" w:hAnsi="Arial" w:cs="Arial"/>
          <w:b/>
          <w:sz w:val="20"/>
          <w:szCs w:val="20"/>
        </w:rPr>
        <w:t>Art. 14.</w:t>
      </w:r>
      <w:r>
        <w:rPr>
          <w:rFonts w:ascii="Arial" w:hAnsi="Arial" w:cs="Arial"/>
          <w:b/>
          <w:sz w:val="20"/>
          <w:szCs w:val="20"/>
        </w:rPr>
        <w:t xml:space="preserve"> </w:t>
      </w:r>
      <w:r w:rsidRPr="008D4B29">
        <w:rPr>
          <w:rFonts w:ascii="Arial" w:hAnsi="Arial" w:cs="Arial"/>
          <w:sz w:val="20"/>
          <w:szCs w:val="20"/>
        </w:rPr>
        <w:t>O</w:t>
      </w:r>
      <w:r>
        <w:rPr>
          <w:rFonts w:ascii="Arial" w:hAnsi="Arial" w:cs="Arial"/>
          <w:sz w:val="20"/>
          <w:szCs w:val="20"/>
        </w:rPr>
        <w:t xml:space="preserve"> recurso deverá ser dirigido à Comissão especialmente designada pelo chefe do Executivo, que terá 30 (trinta) dias contados da data da notificação para apresentar </w:t>
      </w:r>
      <w:r w:rsidR="00C7195D">
        <w:rPr>
          <w:rFonts w:ascii="Arial" w:hAnsi="Arial" w:cs="Arial"/>
          <w:sz w:val="20"/>
          <w:szCs w:val="20"/>
        </w:rPr>
        <w:t>sua decisão.</w:t>
      </w:r>
    </w:p>
    <w:p w:rsidR="00C7195D" w:rsidRDefault="00C7195D" w:rsidP="00026CC3">
      <w:pPr>
        <w:spacing w:after="0" w:line="240" w:lineRule="auto"/>
        <w:ind w:firstLine="4502"/>
        <w:jc w:val="both"/>
        <w:rPr>
          <w:rFonts w:ascii="Arial" w:hAnsi="Arial" w:cs="Arial"/>
          <w:sz w:val="20"/>
          <w:szCs w:val="20"/>
        </w:rPr>
      </w:pPr>
    </w:p>
    <w:p w:rsidR="00C7195D" w:rsidRDefault="00C7195D" w:rsidP="00026CC3">
      <w:pPr>
        <w:spacing w:after="0" w:line="240" w:lineRule="auto"/>
        <w:ind w:firstLine="4502"/>
        <w:jc w:val="both"/>
        <w:rPr>
          <w:rFonts w:ascii="Arial" w:hAnsi="Arial" w:cs="Arial"/>
          <w:sz w:val="20"/>
          <w:szCs w:val="20"/>
        </w:rPr>
      </w:pPr>
      <w:r w:rsidRPr="00C7195D">
        <w:rPr>
          <w:rFonts w:ascii="Arial" w:hAnsi="Arial" w:cs="Arial"/>
          <w:b/>
          <w:sz w:val="20"/>
          <w:szCs w:val="20"/>
        </w:rPr>
        <w:t>Art. 15.</w:t>
      </w:r>
      <w:r>
        <w:rPr>
          <w:rFonts w:ascii="Arial" w:hAnsi="Arial" w:cs="Arial"/>
          <w:b/>
          <w:sz w:val="20"/>
          <w:szCs w:val="20"/>
        </w:rPr>
        <w:t xml:space="preserve"> </w:t>
      </w:r>
      <w:r w:rsidRPr="00C7195D">
        <w:rPr>
          <w:rFonts w:ascii="Arial" w:hAnsi="Arial" w:cs="Arial"/>
          <w:sz w:val="20"/>
          <w:szCs w:val="20"/>
        </w:rPr>
        <w:t>As multas</w:t>
      </w:r>
      <w:r>
        <w:rPr>
          <w:rFonts w:ascii="Arial" w:hAnsi="Arial" w:cs="Arial"/>
          <w:sz w:val="20"/>
          <w:szCs w:val="20"/>
        </w:rPr>
        <w:t xml:space="preserve"> previstas nesta Lei deverão ser recolhidas no prazo máximo de trinta (30) dias úteis, contados da decisão final.</w:t>
      </w:r>
    </w:p>
    <w:p w:rsidR="00C7195D" w:rsidRPr="00C7195D" w:rsidRDefault="00C7195D" w:rsidP="00026CC3">
      <w:pPr>
        <w:spacing w:after="0" w:line="240" w:lineRule="auto"/>
        <w:ind w:firstLine="4502"/>
        <w:jc w:val="both"/>
        <w:rPr>
          <w:rFonts w:ascii="Arial" w:hAnsi="Arial" w:cs="Arial"/>
          <w:b/>
          <w:sz w:val="20"/>
          <w:szCs w:val="20"/>
        </w:rPr>
      </w:pPr>
    </w:p>
    <w:p w:rsidR="00C7195D" w:rsidRDefault="00C7195D" w:rsidP="00026CC3">
      <w:pPr>
        <w:spacing w:after="0" w:line="240" w:lineRule="auto"/>
        <w:ind w:firstLine="4502"/>
        <w:jc w:val="both"/>
        <w:rPr>
          <w:rFonts w:ascii="Arial" w:hAnsi="Arial" w:cs="Arial"/>
          <w:sz w:val="20"/>
          <w:szCs w:val="20"/>
        </w:rPr>
      </w:pPr>
      <w:r w:rsidRPr="00C7195D">
        <w:rPr>
          <w:rFonts w:ascii="Arial" w:hAnsi="Arial" w:cs="Arial"/>
          <w:b/>
          <w:sz w:val="20"/>
          <w:szCs w:val="20"/>
        </w:rPr>
        <w:t>Art. 16</w:t>
      </w:r>
      <w:r w:rsidRPr="00C7195D">
        <w:rPr>
          <w:rFonts w:ascii="Arial" w:hAnsi="Arial" w:cs="Arial"/>
          <w:sz w:val="20"/>
          <w:szCs w:val="20"/>
        </w:rPr>
        <w:t>. Os estabelecimentos que não se enquadrarem nas disposições previstas nesta Lei, terão o prazo improrrogável</w:t>
      </w:r>
      <w:r>
        <w:rPr>
          <w:rFonts w:ascii="Arial" w:hAnsi="Arial" w:cs="Arial"/>
          <w:sz w:val="20"/>
          <w:szCs w:val="20"/>
        </w:rPr>
        <w:t xml:space="preserve"> de noventa (90) dias contados a partir de sua publicação para promover as adaptações necessárias.</w:t>
      </w:r>
    </w:p>
    <w:p w:rsidR="00C7195D" w:rsidRDefault="00C7195D" w:rsidP="00026CC3">
      <w:pPr>
        <w:spacing w:after="0" w:line="240" w:lineRule="auto"/>
        <w:ind w:firstLine="4502"/>
        <w:jc w:val="both"/>
        <w:rPr>
          <w:rFonts w:ascii="Arial" w:hAnsi="Arial" w:cs="Arial"/>
          <w:sz w:val="20"/>
          <w:szCs w:val="20"/>
        </w:rPr>
      </w:pPr>
    </w:p>
    <w:p w:rsidR="00C7195D" w:rsidRDefault="00C7195D" w:rsidP="00026CC3">
      <w:pPr>
        <w:spacing w:after="0" w:line="240" w:lineRule="auto"/>
        <w:ind w:firstLine="4502"/>
        <w:jc w:val="both"/>
        <w:rPr>
          <w:rFonts w:ascii="Arial" w:hAnsi="Arial" w:cs="Arial"/>
          <w:sz w:val="20"/>
          <w:szCs w:val="20"/>
        </w:rPr>
      </w:pPr>
      <w:r w:rsidRPr="00C7195D">
        <w:rPr>
          <w:rFonts w:ascii="Arial" w:hAnsi="Arial" w:cs="Arial"/>
          <w:b/>
          <w:sz w:val="20"/>
          <w:szCs w:val="20"/>
        </w:rPr>
        <w:t>Art. 17.</w:t>
      </w:r>
      <w:r>
        <w:rPr>
          <w:rFonts w:ascii="Arial" w:hAnsi="Arial" w:cs="Arial"/>
          <w:b/>
          <w:sz w:val="20"/>
          <w:szCs w:val="20"/>
        </w:rPr>
        <w:t xml:space="preserve"> </w:t>
      </w:r>
      <w:r w:rsidRPr="00C7195D">
        <w:rPr>
          <w:rFonts w:ascii="Arial" w:hAnsi="Arial" w:cs="Arial"/>
          <w:sz w:val="20"/>
          <w:szCs w:val="20"/>
        </w:rPr>
        <w:t>O Executivo</w:t>
      </w:r>
      <w:r>
        <w:rPr>
          <w:rFonts w:ascii="Arial" w:hAnsi="Arial" w:cs="Arial"/>
          <w:sz w:val="20"/>
          <w:szCs w:val="20"/>
        </w:rPr>
        <w:t xml:space="preserve"> Municipal deverá regulamentar esta Lei dentro de 30 (trinta) dias após sua publicação.</w:t>
      </w:r>
    </w:p>
    <w:p w:rsidR="00DF6EE6" w:rsidRDefault="00DF6EE6" w:rsidP="00026CC3">
      <w:pPr>
        <w:spacing w:after="0" w:line="240" w:lineRule="auto"/>
        <w:ind w:firstLine="4502"/>
        <w:jc w:val="both"/>
        <w:rPr>
          <w:rFonts w:ascii="Arial" w:hAnsi="Arial" w:cs="Arial"/>
          <w:sz w:val="20"/>
          <w:szCs w:val="20"/>
        </w:rPr>
      </w:pPr>
    </w:p>
    <w:p w:rsidR="000820D8" w:rsidRDefault="00DF6EE6" w:rsidP="00026CC3">
      <w:pPr>
        <w:spacing w:after="0" w:line="240" w:lineRule="auto"/>
        <w:ind w:firstLine="4502"/>
        <w:jc w:val="both"/>
        <w:rPr>
          <w:rFonts w:ascii="Arial" w:hAnsi="Arial" w:cs="Arial"/>
          <w:sz w:val="20"/>
          <w:szCs w:val="20"/>
        </w:rPr>
      </w:pPr>
      <w:r w:rsidRPr="00DF6EE6">
        <w:rPr>
          <w:rFonts w:ascii="Arial" w:hAnsi="Arial" w:cs="Arial"/>
          <w:b/>
          <w:sz w:val="20"/>
          <w:szCs w:val="20"/>
        </w:rPr>
        <w:t xml:space="preserve">Art. </w:t>
      </w:r>
      <w:r w:rsidR="00C7195D">
        <w:rPr>
          <w:rFonts w:ascii="Arial" w:hAnsi="Arial" w:cs="Arial"/>
          <w:b/>
          <w:sz w:val="20"/>
          <w:szCs w:val="20"/>
        </w:rPr>
        <w:t xml:space="preserve">18. </w:t>
      </w:r>
      <w:r w:rsidR="000820D8">
        <w:rPr>
          <w:rFonts w:ascii="Arial" w:hAnsi="Arial" w:cs="Arial"/>
          <w:sz w:val="20"/>
          <w:szCs w:val="20"/>
        </w:rPr>
        <w:t>Esta lei entra em vigor na data de sua publica</w:t>
      </w:r>
      <w:r>
        <w:rPr>
          <w:rFonts w:ascii="Arial" w:hAnsi="Arial" w:cs="Arial"/>
          <w:sz w:val="20"/>
          <w:szCs w:val="20"/>
        </w:rPr>
        <w:t>ção</w:t>
      </w:r>
      <w:r w:rsidR="00C7195D">
        <w:rPr>
          <w:rFonts w:ascii="Arial" w:hAnsi="Arial" w:cs="Arial"/>
          <w:sz w:val="20"/>
          <w:szCs w:val="20"/>
        </w:rPr>
        <w:t>, revogadas as disposições em contrário.</w:t>
      </w:r>
    </w:p>
    <w:p w:rsidR="00626B9A" w:rsidRDefault="00626B9A" w:rsidP="00026CC3">
      <w:pPr>
        <w:spacing w:after="0" w:line="240" w:lineRule="auto"/>
        <w:ind w:firstLine="4502"/>
        <w:jc w:val="both"/>
        <w:rPr>
          <w:rFonts w:ascii="Arial" w:hAnsi="Arial" w:cs="Arial"/>
          <w:sz w:val="20"/>
          <w:szCs w:val="20"/>
        </w:rPr>
      </w:pPr>
    </w:p>
    <w:p w:rsidR="00FC2055" w:rsidRPr="00C74B4C" w:rsidRDefault="00FC2055" w:rsidP="00026CC3">
      <w:pPr>
        <w:spacing w:after="0" w:line="240" w:lineRule="auto"/>
        <w:ind w:firstLine="4502"/>
        <w:jc w:val="both"/>
        <w:rPr>
          <w:rFonts w:ascii="Arial" w:hAnsi="Arial" w:cs="Arial"/>
          <w:sz w:val="20"/>
          <w:szCs w:val="20"/>
        </w:rPr>
      </w:pPr>
    </w:p>
    <w:p w:rsidR="00B047D5" w:rsidRPr="00C74B4C" w:rsidRDefault="00475D98" w:rsidP="00026CC3">
      <w:pPr>
        <w:spacing w:after="0" w:line="240" w:lineRule="auto"/>
        <w:ind w:firstLine="4502"/>
        <w:jc w:val="both"/>
        <w:rPr>
          <w:rFonts w:ascii="Arial" w:hAnsi="Arial" w:cs="Arial"/>
          <w:sz w:val="20"/>
          <w:szCs w:val="20"/>
        </w:rPr>
      </w:pPr>
      <w:r>
        <w:rPr>
          <w:rFonts w:ascii="Arial" w:hAnsi="Arial" w:cs="Arial"/>
          <w:sz w:val="20"/>
          <w:szCs w:val="20"/>
        </w:rPr>
        <w:t xml:space="preserve">Palácio Uva Itália, </w:t>
      </w:r>
      <w:r w:rsidR="00C7195D">
        <w:rPr>
          <w:rFonts w:ascii="Arial" w:hAnsi="Arial" w:cs="Arial"/>
          <w:sz w:val="20"/>
          <w:szCs w:val="20"/>
        </w:rPr>
        <w:t>11</w:t>
      </w:r>
      <w:r>
        <w:rPr>
          <w:rFonts w:ascii="Arial" w:hAnsi="Arial" w:cs="Arial"/>
          <w:sz w:val="20"/>
          <w:szCs w:val="20"/>
        </w:rPr>
        <w:t xml:space="preserve"> de </w:t>
      </w:r>
      <w:r w:rsidR="00C7195D">
        <w:rPr>
          <w:rFonts w:ascii="Arial" w:hAnsi="Arial" w:cs="Arial"/>
          <w:sz w:val="20"/>
          <w:szCs w:val="20"/>
        </w:rPr>
        <w:t>novem</w:t>
      </w:r>
      <w:r>
        <w:rPr>
          <w:rFonts w:ascii="Arial" w:hAnsi="Arial" w:cs="Arial"/>
          <w:sz w:val="20"/>
          <w:szCs w:val="20"/>
        </w:rPr>
        <w:t>bro de 2013.</w:t>
      </w:r>
    </w:p>
    <w:p w:rsidR="00B047D5" w:rsidRDefault="00B047D5" w:rsidP="00026CC3">
      <w:pPr>
        <w:spacing w:after="0" w:line="240" w:lineRule="auto"/>
        <w:jc w:val="both"/>
        <w:rPr>
          <w:rFonts w:ascii="Arial" w:hAnsi="Arial" w:cs="Arial"/>
          <w:sz w:val="20"/>
          <w:szCs w:val="20"/>
        </w:rPr>
      </w:pPr>
    </w:p>
    <w:p w:rsidR="00B047D5" w:rsidRDefault="00B047D5" w:rsidP="00026CC3">
      <w:pPr>
        <w:spacing w:after="0" w:line="240" w:lineRule="auto"/>
        <w:jc w:val="both"/>
        <w:rPr>
          <w:rFonts w:ascii="Arial" w:hAnsi="Arial" w:cs="Arial"/>
          <w:sz w:val="20"/>
          <w:szCs w:val="20"/>
        </w:rPr>
      </w:pPr>
    </w:p>
    <w:p w:rsidR="00F226DF" w:rsidRDefault="00F226DF" w:rsidP="00026CC3">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ACIR DOS SANTOS</w:t>
      </w:r>
    </w:p>
    <w:p w:rsidR="00F226DF" w:rsidRDefault="00F226DF" w:rsidP="00026CC3">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(ACIR FILLÓ)</w:t>
      </w:r>
    </w:p>
    <w:p w:rsidR="00F226DF" w:rsidRDefault="00F26BC2" w:rsidP="00026CC3">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8A0E10" w:rsidRDefault="008A0E10" w:rsidP="00026CC3">
      <w:pPr>
        <w:pStyle w:val="PargrafodaLista"/>
        <w:tabs>
          <w:tab w:val="decimal" w:pos="5245"/>
        </w:tabs>
        <w:spacing w:after="0" w:line="240" w:lineRule="auto"/>
        <w:ind w:left="0"/>
        <w:jc w:val="center"/>
        <w:rPr>
          <w:rFonts w:ascii="Arial" w:hAnsi="Arial" w:cs="Arial"/>
          <w:sz w:val="20"/>
          <w:szCs w:val="20"/>
        </w:rPr>
      </w:pPr>
    </w:p>
    <w:p w:rsidR="00FB7642" w:rsidRDefault="00FB7642" w:rsidP="00026CC3">
      <w:pPr>
        <w:pStyle w:val="PargrafodaLista"/>
        <w:tabs>
          <w:tab w:val="decimal" w:pos="5245"/>
        </w:tabs>
        <w:spacing w:after="0" w:line="240" w:lineRule="auto"/>
        <w:ind w:left="0"/>
        <w:jc w:val="center"/>
        <w:rPr>
          <w:rFonts w:ascii="Arial" w:hAnsi="Arial" w:cs="Arial"/>
          <w:sz w:val="20"/>
          <w:szCs w:val="20"/>
        </w:rPr>
      </w:pPr>
    </w:p>
    <w:p w:rsidR="00FB7642" w:rsidRDefault="007D063E" w:rsidP="00026CC3">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JURACY FERREIRA DA SILVA</w:t>
      </w:r>
    </w:p>
    <w:p w:rsidR="00A95C2E" w:rsidRDefault="00343A19" w:rsidP="00026CC3">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Secretário Municipal de Governo</w:t>
      </w:r>
    </w:p>
    <w:p w:rsidR="000820D8" w:rsidRDefault="000820D8" w:rsidP="00026CC3">
      <w:pPr>
        <w:pStyle w:val="PargrafodaLista"/>
        <w:tabs>
          <w:tab w:val="decimal" w:pos="5245"/>
        </w:tabs>
        <w:spacing w:after="0" w:line="240" w:lineRule="auto"/>
        <w:ind w:left="0"/>
        <w:jc w:val="both"/>
        <w:rPr>
          <w:rFonts w:ascii="Arial" w:hAnsi="Arial" w:cs="Arial"/>
          <w:sz w:val="20"/>
          <w:szCs w:val="20"/>
        </w:rPr>
      </w:pPr>
    </w:p>
    <w:p w:rsidR="00626B9A" w:rsidRDefault="00626B9A" w:rsidP="00026CC3">
      <w:pPr>
        <w:pStyle w:val="PargrafodaLista"/>
        <w:tabs>
          <w:tab w:val="decimal" w:pos="5245"/>
        </w:tabs>
        <w:spacing w:after="0" w:line="240" w:lineRule="auto"/>
        <w:ind w:left="0"/>
        <w:jc w:val="both"/>
        <w:rPr>
          <w:rFonts w:ascii="Arial" w:hAnsi="Arial" w:cs="Arial"/>
          <w:sz w:val="20"/>
          <w:szCs w:val="20"/>
        </w:rPr>
      </w:pPr>
    </w:p>
    <w:p w:rsidR="008A0E10" w:rsidRDefault="00F226DF" w:rsidP="00026CC3">
      <w:pPr>
        <w:pStyle w:val="PargrafodaLista"/>
        <w:tabs>
          <w:tab w:val="decimal" w:pos="5245"/>
        </w:tabs>
        <w:spacing w:after="0" w:line="240" w:lineRule="auto"/>
        <w:ind w:left="0"/>
        <w:jc w:val="both"/>
        <w:rPr>
          <w:rFonts w:ascii="Arial" w:hAnsi="Arial" w:cs="Arial"/>
          <w:sz w:val="20"/>
          <w:szCs w:val="20"/>
        </w:rPr>
      </w:pPr>
      <w:r>
        <w:rPr>
          <w:rFonts w:ascii="Arial" w:hAnsi="Arial" w:cs="Arial"/>
          <w:sz w:val="20"/>
          <w:szCs w:val="20"/>
        </w:rPr>
        <w:t>Registrada na Secretaria Municipal de Administração – Divisão de Expediente e Documentação e publicada no Quadro de Editais do Paço Municipal na mesma data</w:t>
      </w:r>
      <w:r w:rsidR="00FB7642">
        <w:rPr>
          <w:rFonts w:ascii="Arial" w:hAnsi="Arial" w:cs="Arial"/>
          <w:sz w:val="20"/>
          <w:szCs w:val="20"/>
        </w:rPr>
        <w:t>.</w:t>
      </w:r>
    </w:p>
    <w:p w:rsidR="008A0E10" w:rsidRDefault="008A0E10" w:rsidP="00026CC3">
      <w:pPr>
        <w:pStyle w:val="PargrafodaLista"/>
        <w:tabs>
          <w:tab w:val="decimal" w:pos="5245"/>
        </w:tabs>
        <w:spacing w:after="0" w:line="240" w:lineRule="auto"/>
        <w:ind w:left="0"/>
        <w:jc w:val="both"/>
        <w:rPr>
          <w:rFonts w:ascii="Arial" w:hAnsi="Arial" w:cs="Arial"/>
          <w:sz w:val="20"/>
          <w:szCs w:val="20"/>
        </w:rPr>
      </w:pPr>
    </w:p>
    <w:p w:rsidR="008A0E10" w:rsidRDefault="008A0E10" w:rsidP="00026CC3">
      <w:pPr>
        <w:pStyle w:val="PargrafodaLista"/>
        <w:tabs>
          <w:tab w:val="decimal" w:pos="5245"/>
        </w:tabs>
        <w:spacing w:after="0" w:line="240" w:lineRule="auto"/>
        <w:ind w:left="0"/>
        <w:jc w:val="both"/>
        <w:rPr>
          <w:rFonts w:ascii="Arial" w:hAnsi="Arial" w:cs="Arial"/>
          <w:sz w:val="20"/>
          <w:szCs w:val="20"/>
        </w:rPr>
      </w:pPr>
    </w:p>
    <w:p w:rsidR="0001222B" w:rsidRDefault="008A0E10" w:rsidP="00026CC3">
      <w:pPr>
        <w:pStyle w:val="PargrafodaLista"/>
        <w:spacing w:after="0" w:line="240" w:lineRule="auto"/>
        <w:ind w:left="0"/>
        <w:jc w:val="center"/>
        <w:rPr>
          <w:rFonts w:ascii="Arial" w:hAnsi="Arial" w:cs="Arial"/>
          <w:sz w:val="20"/>
          <w:szCs w:val="20"/>
        </w:rPr>
      </w:pPr>
      <w:r>
        <w:rPr>
          <w:rFonts w:ascii="Arial" w:hAnsi="Arial" w:cs="Arial"/>
          <w:sz w:val="20"/>
          <w:szCs w:val="20"/>
        </w:rPr>
        <w:t>ARNALDO ANTUNES DE SOUZA</w:t>
      </w:r>
    </w:p>
    <w:p w:rsidR="008A0E10" w:rsidRDefault="00F26BC2" w:rsidP="00026CC3">
      <w:pPr>
        <w:pStyle w:val="PargrafodaLista"/>
        <w:spacing w:after="0" w:line="240" w:lineRule="auto"/>
        <w:ind w:left="0"/>
        <w:jc w:val="center"/>
        <w:rPr>
          <w:rFonts w:ascii="Arial" w:hAnsi="Arial" w:cs="Arial"/>
          <w:sz w:val="20"/>
          <w:szCs w:val="20"/>
        </w:rPr>
      </w:pPr>
      <w:r>
        <w:rPr>
          <w:rFonts w:ascii="Arial" w:hAnsi="Arial" w:cs="Arial"/>
          <w:sz w:val="20"/>
          <w:szCs w:val="20"/>
        </w:rPr>
        <w:t>Secretá</w:t>
      </w:r>
      <w:r w:rsidR="008A0E10">
        <w:rPr>
          <w:rFonts w:ascii="Arial" w:hAnsi="Arial" w:cs="Arial"/>
          <w:sz w:val="20"/>
          <w:szCs w:val="20"/>
        </w:rPr>
        <w:t>rio Municipal de Administração</w:t>
      </w:r>
    </w:p>
    <w:p w:rsidR="00F226DF" w:rsidRDefault="00F226DF" w:rsidP="00026CC3">
      <w:pPr>
        <w:pStyle w:val="PargrafodaLista"/>
        <w:tabs>
          <w:tab w:val="decimal" w:pos="5245"/>
        </w:tabs>
        <w:spacing w:after="0" w:line="240" w:lineRule="auto"/>
        <w:ind w:left="0"/>
        <w:jc w:val="both"/>
        <w:rPr>
          <w:rFonts w:ascii="Arial" w:hAnsi="Arial" w:cs="Arial"/>
          <w:sz w:val="20"/>
          <w:szCs w:val="20"/>
        </w:rPr>
      </w:pPr>
      <w:bookmarkStart w:id="0" w:name="_GoBack"/>
      <w:bookmarkEnd w:id="0"/>
    </w:p>
    <w:p w:rsidR="00F226DF" w:rsidRPr="0075548F" w:rsidRDefault="00F226DF" w:rsidP="00026CC3">
      <w:pPr>
        <w:pStyle w:val="PargrafodaLista"/>
        <w:tabs>
          <w:tab w:val="decimal" w:pos="5245"/>
        </w:tabs>
        <w:spacing w:after="0" w:line="240" w:lineRule="auto"/>
        <w:ind w:left="0"/>
        <w:jc w:val="both"/>
        <w:rPr>
          <w:rFonts w:ascii="Arial" w:hAnsi="Arial" w:cs="Arial"/>
          <w:sz w:val="20"/>
          <w:szCs w:val="20"/>
        </w:rPr>
      </w:pPr>
    </w:p>
    <w:p w:rsidR="009243B3" w:rsidRPr="00104D08" w:rsidRDefault="009243B3" w:rsidP="00026CC3">
      <w:pPr>
        <w:tabs>
          <w:tab w:val="decimal" w:pos="5245"/>
        </w:tabs>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026CC3">
      <w:pPr>
        <w:tabs>
          <w:tab w:val="decimal" w:pos="5245"/>
          <w:tab w:val="left" w:pos="5347"/>
        </w:tabs>
        <w:spacing w:after="0" w:line="240" w:lineRule="auto"/>
        <w:jc w:val="both"/>
        <w:rPr>
          <w:rFonts w:ascii="Arial" w:hAnsi="Arial" w:cs="Arial"/>
          <w:sz w:val="20"/>
          <w:szCs w:val="20"/>
        </w:rPr>
      </w:pPr>
    </w:p>
    <w:p w:rsidR="009243B3" w:rsidRDefault="009243B3" w:rsidP="00026CC3">
      <w:pPr>
        <w:tabs>
          <w:tab w:val="decimal" w:pos="5245"/>
        </w:tabs>
        <w:spacing w:after="0" w:line="240" w:lineRule="auto"/>
        <w:jc w:val="both"/>
      </w:pP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758" w:rsidRDefault="00461758" w:rsidP="009243B3">
      <w:pPr>
        <w:spacing w:after="0" w:line="240" w:lineRule="auto"/>
      </w:pPr>
      <w:r>
        <w:separator/>
      </w:r>
    </w:p>
  </w:endnote>
  <w:endnote w:type="continuationSeparator" w:id="0">
    <w:p w:rsidR="00461758" w:rsidRDefault="00461758"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758" w:rsidRDefault="00461758" w:rsidP="009243B3">
      <w:pPr>
        <w:spacing w:after="0" w:line="240" w:lineRule="auto"/>
      </w:pPr>
      <w:r>
        <w:separator/>
      </w:r>
    </w:p>
  </w:footnote>
  <w:footnote w:type="continuationSeparator" w:id="0">
    <w:p w:rsidR="00461758" w:rsidRDefault="00461758"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 w15:restartNumberingAfterBreak="0">
    <w:nsid w:val="39CB4FE0"/>
    <w:multiLevelType w:val="hybridMultilevel"/>
    <w:tmpl w:val="3CCA740C"/>
    <w:lvl w:ilvl="0" w:tplc="FE1AEF5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3" w15:restartNumberingAfterBreak="0">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57F"/>
    <w:rsid w:val="00011EFD"/>
    <w:rsid w:val="0001222B"/>
    <w:rsid w:val="000171B1"/>
    <w:rsid w:val="00026CC3"/>
    <w:rsid w:val="00034EB5"/>
    <w:rsid w:val="00044F6D"/>
    <w:rsid w:val="00057335"/>
    <w:rsid w:val="00063F53"/>
    <w:rsid w:val="00066C21"/>
    <w:rsid w:val="00071B83"/>
    <w:rsid w:val="00075538"/>
    <w:rsid w:val="000820D8"/>
    <w:rsid w:val="00083CE7"/>
    <w:rsid w:val="0009249A"/>
    <w:rsid w:val="000B77CF"/>
    <w:rsid w:val="000C6643"/>
    <w:rsid w:val="000E3347"/>
    <w:rsid w:val="000E6C6A"/>
    <w:rsid w:val="000F2D4E"/>
    <w:rsid w:val="000F43AE"/>
    <w:rsid w:val="00104E21"/>
    <w:rsid w:val="00106BB3"/>
    <w:rsid w:val="00113896"/>
    <w:rsid w:val="001148E1"/>
    <w:rsid w:val="001252F8"/>
    <w:rsid w:val="001276D1"/>
    <w:rsid w:val="001278C5"/>
    <w:rsid w:val="00127A68"/>
    <w:rsid w:val="001374BE"/>
    <w:rsid w:val="00151BB2"/>
    <w:rsid w:val="00160CD5"/>
    <w:rsid w:val="001649E3"/>
    <w:rsid w:val="00165587"/>
    <w:rsid w:val="00173C73"/>
    <w:rsid w:val="00187351"/>
    <w:rsid w:val="001A2491"/>
    <w:rsid w:val="001A57B6"/>
    <w:rsid w:val="001A7DFA"/>
    <w:rsid w:val="001B6361"/>
    <w:rsid w:val="001C0528"/>
    <w:rsid w:val="001D7561"/>
    <w:rsid w:val="001E2AC2"/>
    <w:rsid w:val="001E6A3B"/>
    <w:rsid w:val="001F6919"/>
    <w:rsid w:val="001F6C6D"/>
    <w:rsid w:val="00211C3C"/>
    <w:rsid w:val="00216821"/>
    <w:rsid w:val="00220DA2"/>
    <w:rsid w:val="00230CDD"/>
    <w:rsid w:val="00230D22"/>
    <w:rsid w:val="0023294E"/>
    <w:rsid w:val="00234976"/>
    <w:rsid w:val="00244A70"/>
    <w:rsid w:val="002477C4"/>
    <w:rsid w:val="00255113"/>
    <w:rsid w:val="002554E2"/>
    <w:rsid w:val="00256A10"/>
    <w:rsid w:val="00260AA5"/>
    <w:rsid w:val="002666A5"/>
    <w:rsid w:val="00267C03"/>
    <w:rsid w:val="002732E0"/>
    <w:rsid w:val="002751F9"/>
    <w:rsid w:val="0028176F"/>
    <w:rsid w:val="00285F07"/>
    <w:rsid w:val="00285F8C"/>
    <w:rsid w:val="00286916"/>
    <w:rsid w:val="002945E8"/>
    <w:rsid w:val="002A26CC"/>
    <w:rsid w:val="002A3877"/>
    <w:rsid w:val="002A58D5"/>
    <w:rsid w:val="002A7A05"/>
    <w:rsid w:val="002A7F18"/>
    <w:rsid w:val="002C1815"/>
    <w:rsid w:val="002C3991"/>
    <w:rsid w:val="002C7743"/>
    <w:rsid w:val="002D2440"/>
    <w:rsid w:val="002D5736"/>
    <w:rsid w:val="002D77B2"/>
    <w:rsid w:val="002E15F3"/>
    <w:rsid w:val="002E5932"/>
    <w:rsid w:val="002E6BBE"/>
    <w:rsid w:val="002F0D58"/>
    <w:rsid w:val="00307736"/>
    <w:rsid w:val="00312E4C"/>
    <w:rsid w:val="003134BB"/>
    <w:rsid w:val="00325D03"/>
    <w:rsid w:val="00326711"/>
    <w:rsid w:val="00330112"/>
    <w:rsid w:val="00343A19"/>
    <w:rsid w:val="003537C6"/>
    <w:rsid w:val="0035404A"/>
    <w:rsid w:val="00364B75"/>
    <w:rsid w:val="0037169E"/>
    <w:rsid w:val="00381CDC"/>
    <w:rsid w:val="003831E5"/>
    <w:rsid w:val="0039634D"/>
    <w:rsid w:val="00397268"/>
    <w:rsid w:val="003A135B"/>
    <w:rsid w:val="003A2067"/>
    <w:rsid w:val="003A3FE0"/>
    <w:rsid w:val="003A5CD0"/>
    <w:rsid w:val="003A5FDC"/>
    <w:rsid w:val="003B0D7C"/>
    <w:rsid w:val="003B48C5"/>
    <w:rsid w:val="003C2E09"/>
    <w:rsid w:val="003C75DF"/>
    <w:rsid w:val="003D09C4"/>
    <w:rsid w:val="003D2B83"/>
    <w:rsid w:val="003E056A"/>
    <w:rsid w:val="003E136B"/>
    <w:rsid w:val="003E5C25"/>
    <w:rsid w:val="003F059E"/>
    <w:rsid w:val="003F080D"/>
    <w:rsid w:val="004026AF"/>
    <w:rsid w:val="0040632C"/>
    <w:rsid w:val="004126E1"/>
    <w:rsid w:val="004129BF"/>
    <w:rsid w:val="0041419E"/>
    <w:rsid w:val="00414C36"/>
    <w:rsid w:val="00432997"/>
    <w:rsid w:val="004356CC"/>
    <w:rsid w:val="004474C5"/>
    <w:rsid w:val="00447E85"/>
    <w:rsid w:val="00453F27"/>
    <w:rsid w:val="00455582"/>
    <w:rsid w:val="00455B0F"/>
    <w:rsid w:val="00456484"/>
    <w:rsid w:val="0046111B"/>
    <w:rsid w:val="004611AD"/>
    <w:rsid w:val="00461758"/>
    <w:rsid w:val="004666CC"/>
    <w:rsid w:val="00475D98"/>
    <w:rsid w:val="0047616D"/>
    <w:rsid w:val="00481DFC"/>
    <w:rsid w:val="00493B14"/>
    <w:rsid w:val="004967CA"/>
    <w:rsid w:val="004A0CF3"/>
    <w:rsid w:val="004A557F"/>
    <w:rsid w:val="004A697B"/>
    <w:rsid w:val="004B4685"/>
    <w:rsid w:val="004B7B96"/>
    <w:rsid w:val="004C20A8"/>
    <w:rsid w:val="004C47C5"/>
    <w:rsid w:val="004D6939"/>
    <w:rsid w:val="004D6C7F"/>
    <w:rsid w:val="004E53A3"/>
    <w:rsid w:val="004F0579"/>
    <w:rsid w:val="004F5FDC"/>
    <w:rsid w:val="0050410E"/>
    <w:rsid w:val="00506EEA"/>
    <w:rsid w:val="00507096"/>
    <w:rsid w:val="00507CC3"/>
    <w:rsid w:val="00510184"/>
    <w:rsid w:val="005146C0"/>
    <w:rsid w:val="00514AFC"/>
    <w:rsid w:val="00521198"/>
    <w:rsid w:val="0053283D"/>
    <w:rsid w:val="005460DC"/>
    <w:rsid w:val="00555A87"/>
    <w:rsid w:val="00572538"/>
    <w:rsid w:val="00580BE2"/>
    <w:rsid w:val="00581D0F"/>
    <w:rsid w:val="0058211A"/>
    <w:rsid w:val="00590F9F"/>
    <w:rsid w:val="0059773E"/>
    <w:rsid w:val="00597E82"/>
    <w:rsid w:val="005A0E55"/>
    <w:rsid w:val="005A1B60"/>
    <w:rsid w:val="005A7342"/>
    <w:rsid w:val="005A7E43"/>
    <w:rsid w:val="005A7EC7"/>
    <w:rsid w:val="005B202C"/>
    <w:rsid w:val="005B23B7"/>
    <w:rsid w:val="005B3E01"/>
    <w:rsid w:val="005B4336"/>
    <w:rsid w:val="005B4FC4"/>
    <w:rsid w:val="005C7395"/>
    <w:rsid w:val="005D07DF"/>
    <w:rsid w:val="005D6554"/>
    <w:rsid w:val="005E085B"/>
    <w:rsid w:val="005E7FD0"/>
    <w:rsid w:val="005F4B8A"/>
    <w:rsid w:val="00600CDB"/>
    <w:rsid w:val="0061005B"/>
    <w:rsid w:val="00611DB2"/>
    <w:rsid w:val="0061757E"/>
    <w:rsid w:val="0062228B"/>
    <w:rsid w:val="00623B61"/>
    <w:rsid w:val="00626B9A"/>
    <w:rsid w:val="00630EA1"/>
    <w:rsid w:val="0063128C"/>
    <w:rsid w:val="00635628"/>
    <w:rsid w:val="00644BC4"/>
    <w:rsid w:val="006524F1"/>
    <w:rsid w:val="00653E3C"/>
    <w:rsid w:val="0065494D"/>
    <w:rsid w:val="00657E65"/>
    <w:rsid w:val="00666E7F"/>
    <w:rsid w:val="00667976"/>
    <w:rsid w:val="00670338"/>
    <w:rsid w:val="00675AC3"/>
    <w:rsid w:val="00675B3A"/>
    <w:rsid w:val="00675B78"/>
    <w:rsid w:val="00675D39"/>
    <w:rsid w:val="006831CB"/>
    <w:rsid w:val="006847A2"/>
    <w:rsid w:val="00686671"/>
    <w:rsid w:val="00696B1B"/>
    <w:rsid w:val="006A1EA2"/>
    <w:rsid w:val="006C7D40"/>
    <w:rsid w:val="006C7FB0"/>
    <w:rsid w:val="006C7FDD"/>
    <w:rsid w:val="006D7514"/>
    <w:rsid w:val="006D7D36"/>
    <w:rsid w:val="006E03D9"/>
    <w:rsid w:val="006E1747"/>
    <w:rsid w:val="006E1979"/>
    <w:rsid w:val="006E2990"/>
    <w:rsid w:val="006E7555"/>
    <w:rsid w:val="006F09E4"/>
    <w:rsid w:val="006F1B52"/>
    <w:rsid w:val="006F3598"/>
    <w:rsid w:val="007007E0"/>
    <w:rsid w:val="00701A09"/>
    <w:rsid w:val="00714572"/>
    <w:rsid w:val="00714996"/>
    <w:rsid w:val="00714BC3"/>
    <w:rsid w:val="00714D7B"/>
    <w:rsid w:val="00722487"/>
    <w:rsid w:val="0072696B"/>
    <w:rsid w:val="00726F3D"/>
    <w:rsid w:val="0072765D"/>
    <w:rsid w:val="00727C7C"/>
    <w:rsid w:val="00731955"/>
    <w:rsid w:val="00734177"/>
    <w:rsid w:val="00737637"/>
    <w:rsid w:val="00740273"/>
    <w:rsid w:val="0075548F"/>
    <w:rsid w:val="00762308"/>
    <w:rsid w:val="00772562"/>
    <w:rsid w:val="00772AA0"/>
    <w:rsid w:val="007742CC"/>
    <w:rsid w:val="00785A8E"/>
    <w:rsid w:val="007A2A26"/>
    <w:rsid w:val="007A5893"/>
    <w:rsid w:val="007B3948"/>
    <w:rsid w:val="007B4F7F"/>
    <w:rsid w:val="007B752F"/>
    <w:rsid w:val="007C32D1"/>
    <w:rsid w:val="007D063E"/>
    <w:rsid w:val="007D32DB"/>
    <w:rsid w:val="007D3DE0"/>
    <w:rsid w:val="007D563C"/>
    <w:rsid w:val="007E0F6D"/>
    <w:rsid w:val="007E38D2"/>
    <w:rsid w:val="007E402F"/>
    <w:rsid w:val="007F43D7"/>
    <w:rsid w:val="007F5674"/>
    <w:rsid w:val="00803AAC"/>
    <w:rsid w:val="00803D3E"/>
    <w:rsid w:val="00807363"/>
    <w:rsid w:val="00814BAB"/>
    <w:rsid w:val="00815D7E"/>
    <w:rsid w:val="00817D53"/>
    <w:rsid w:val="0082420A"/>
    <w:rsid w:val="008261D8"/>
    <w:rsid w:val="0083127C"/>
    <w:rsid w:val="00832401"/>
    <w:rsid w:val="00834825"/>
    <w:rsid w:val="008358CA"/>
    <w:rsid w:val="00836CCC"/>
    <w:rsid w:val="00836FDE"/>
    <w:rsid w:val="008434F0"/>
    <w:rsid w:val="008456AA"/>
    <w:rsid w:val="00846B0A"/>
    <w:rsid w:val="00846B40"/>
    <w:rsid w:val="008470FF"/>
    <w:rsid w:val="00854509"/>
    <w:rsid w:val="00856D66"/>
    <w:rsid w:val="00860F73"/>
    <w:rsid w:val="0086536D"/>
    <w:rsid w:val="008715F7"/>
    <w:rsid w:val="00874178"/>
    <w:rsid w:val="00877347"/>
    <w:rsid w:val="008774C1"/>
    <w:rsid w:val="00891B53"/>
    <w:rsid w:val="00896A12"/>
    <w:rsid w:val="008A04C5"/>
    <w:rsid w:val="008A0E10"/>
    <w:rsid w:val="008A31F0"/>
    <w:rsid w:val="008A39DD"/>
    <w:rsid w:val="008A5573"/>
    <w:rsid w:val="008A5E40"/>
    <w:rsid w:val="008A786C"/>
    <w:rsid w:val="008A7AC7"/>
    <w:rsid w:val="008B27DF"/>
    <w:rsid w:val="008B40D0"/>
    <w:rsid w:val="008B4B61"/>
    <w:rsid w:val="008B7F36"/>
    <w:rsid w:val="008C2903"/>
    <w:rsid w:val="008C7623"/>
    <w:rsid w:val="008D2D78"/>
    <w:rsid w:val="008D4B29"/>
    <w:rsid w:val="008D7450"/>
    <w:rsid w:val="008E23BE"/>
    <w:rsid w:val="008E53D1"/>
    <w:rsid w:val="008F7B02"/>
    <w:rsid w:val="00901F0D"/>
    <w:rsid w:val="0090629C"/>
    <w:rsid w:val="0091051E"/>
    <w:rsid w:val="00911C6C"/>
    <w:rsid w:val="00913A10"/>
    <w:rsid w:val="00914C3D"/>
    <w:rsid w:val="009243B3"/>
    <w:rsid w:val="00924DAD"/>
    <w:rsid w:val="00931CDF"/>
    <w:rsid w:val="009327BD"/>
    <w:rsid w:val="00935BDC"/>
    <w:rsid w:val="009363EF"/>
    <w:rsid w:val="009426B2"/>
    <w:rsid w:val="009505A6"/>
    <w:rsid w:val="0095383D"/>
    <w:rsid w:val="00955380"/>
    <w:rsid w:val="00960337"/>
    <w:rsid w:val="00966B7D"/>
    <w:rsid w:val="00975FF8"/>
    <w:rsid w:val="00981E94"/>
    <w:rsid w:val="00986C0B"/>
    <w:rsid w:val="00992C25"/>
    <w:rsid w:val="00995847"/>
    <w:rsid w:val="009A5474"/>
    <w:rsid w:val="009A6B6B"/>
    <w:rsid w:val="009B56E9"/>
    <w:rsid w:val="009C1A7D"/>
    <w:rsid w:val="009C70AD"/>
    <w:rsid w:val="009C7B92"/>
    <w:rsid w:val="009D1123"/>
    <w:rsid w:val="009E0C24"/>
    <w:rsid w:val="00A030C4"/>
    <w:rsid w:val="00A2010D"/>
    <w:rsid w:val="00A25312"/>
    <w:rsid w:val="00A274C1"/>
    <w:rsid w:val="00A32031"/>
    <w:rsid w:val="00A5170B"/>
    <w:rsid w:val="00A53191"/>
    <w:rsid w:val="00A54855"/>
    <w:rsid w:val="00A56AAD"/>
    <w:rsid w:val="00A5738E"/>
    <w:rsid w:val="00A663A4"/>
    <w:rsid w:val="00A70818"/>
    <w:rsid w:val="00A76198"/>
    <w:rsid w:val="00A87846"/>
    <w:rsid w:val="00A90808"/>
    <w:rsid w:val="00A91B69"/>
    <w:rsid w:val="00A95C2E"/>
    <w:rsid w:val="00AA001D"/>
    <w:rsid w:val="00AA3A01"/>
    <w:rsid w:val="00AA4C45"/>
    <w:rsid w:val="00AB7E6F"/>
    <w:rsid w:val="00AC4EAE"/>
    <w:rsid w:val="00AD1C95"/>
    <w:rsid w:val="00AF7568"/>
    <w:rsid w:val="00B00AF2"/>
    <w:rsid w:val="00B047D5"/>
    <w:rsid w:val="00B072D2"/>
    <w:rsid w:val="00B1128B"/>
    <w:rsid w:val="00B13BB2"/>
    <w:rsid w:val="00B17729"/>
    <w:rsid w:val="00B216CE"/>
    <w:rsid w:val="00B32729"/>
    <w:rsid w:val="00B35ED6"/>
    <w:rsid w:val="00B53A3D"/>
    <w:rsid w:val="00B5578E"/>
    <w:rsid w:val="00B65C14"/>
    <w:rsid w:val="00B660E0"/>
    <w:rsid w:val="00B66932"/>
    <w:rsid w:val="00B67056"/>
    <w:rsid w:val="00B70D27"/>
    <w:rsid w:val="00B727D3"/>
    <w:rsid w:val="00B82286"/>
    <w:rsid w:val="00B859FB"/>
    <w:rsid w:val="00B91727"/>
    <w:rsid w:val="00BB03E3"/>
    <w:rsid w:val="00BB7AB0"/>
    <w:rsid w:val="00BC54B6"/>
    <w:rsid w:val="00BD1C97"/>
    <w:rsid w:val="00BF0EE3"/>
    <w:rsid w:val="00BF467C"/>
    <w:rsid w:val="00C009A1"/>
    <w:rsid w:val="00C00DAC"/>
    <w:rsid w:val="00C1605D"/>
    <w:rsid w:val="00C1780D"/>
    <w:rsid w:val="00C17CFD"/>
    <w:rsid w:val="00C20FD1"/>
    <w:rsid w:val="00C22AD4"/>
    <w:rsid w:val="00C24A01"/>
    <w:rsid w:val="00C25374"/>
    <w:rsid w:val="00C33863"/>
    <w:rsid w:val="00C344AA"/>
    <w:rsid w:val="00C35D75"/>
    <w:rsid w:val="00C364D3"/>
    <w:rsid w:val="00C37272"/>
    <w:rsid w:val="00C37C4A"/>
    <w:rsid w:val="00C417D9"/>
    <w:rsid w:val="00C42AB3"/>
    <w:rsid w:val="00C43154"/>
    <w:rsid w:val="00C47FE1"/>
    <w:rsid w:val="00C532B0"/>
    <w:rsid w:val="00C56D0F"/>
    <w:rsid w:val="00C61068"/>
    <w:rsid w:val="00C62471"/>
    <w:rsid w:val="00C65644"/>
    <w:rsid w:val="00C6781A"/>
    <w:rsid w:val="00C7195D"/>
    <w:rsid w:val="00C74B4C"/>
    <w:rsid w:val="00C81578"/>
    <w:rsid w:val="00C84AA1"/>
    <w:rsid w:val="00C95881"/>
    <w:rsid w:val="00C969DC"/>
    <w:rsid w:val="00CA4FCE"/>
    <w:rsid w:val="00CA782A"/>
    <w:rsid w:val="00CB2E27"/>
    <w:rsid w:val="00CB36CC"/>
    <w:rsid w:val="00CB4518"/>
    <w:rsid w:val="00CB4B38"/>
    <w:rsid w:val="00CC62A7"/>
    <w:rsid w:val="00CD06A0"/>
    <w:rsid w:val="00CD0C6A"/>
    <w:rsid w:val="00CE1EFD"/>
    <w:rsid w:val="00CE48AE"/>
    <w:rsid w:val="00CF1A50"/>
    <w:rsid w:val="00D028A0"/>
    <w:rsid w:val="00D05A08"/>
    <w:rsid w:val="00D10022"/>
    <w:rsid w:val="00D136B7"/>
    <w:rsid w:val="00D137FF"/>
    <w:rsid w:val="00D14BBB"/>
    <w:rsid w:val="00D155C8"/>
    <w:rsid w:val="00D16C90"/>
    <w:rsid w:val="00D21299"/>
    <w:rsid w:val="00D21DFD"/>
    <w:rsid w:val="00D2598B"/>
    <w:rsid w:val="00D2688B"/>
    <w:rsid w:val="00D30F38"/>
    <w:rsid w:val="00D31336"/>
    <w:rsid w:val="00D35022"/>
    <w:rsid w:val="00D4222E"/>
    <w:rsid w:val="00D427A7"/>
    <w:rsid w:val="00D45437"/>
    <w:rsid w:val="00D457EA"/>
    <w:rsid w:val="00D52F9F"/>
    <w:rsid w:val="00D5541F"/>
    <w:rsid w:val="00D55C62"/>
    <w:rsid w:val="00D55C8E"/>
    <w:rsid w:val="00D64963"/>
    <w:rsid w:val="00D6698C"/>
    <w:rsid w:val="00D70032"/>
    <w:rsid w:val="00D7419E"/>
    <w:rsid w:val="00D75348"/>
    <w:rsid w:val="00D7651E"/>
    <w:rsid w:val="00D87DF9"/>
    <w:rsid w:val="00D93E00"/>
    <w:rsid w:val="00D94C94"/>
    <w:rsid w:val="00DA34C4"/>
    <w:rsid w:val="00DC059A"/>
    <w:rsid w:val="00DC22C1"/>
    <w:rsid w:val="00DC4470"/>
    <w:rsid w:val="00DC4557"/>
    <w:rsid w:val="00DD4753"/>
    <w:rsid w:val="00DD5EFA"/>
    <w:rsid w:val="00DE5823"/>
    <w:rsid w:val="00DF4EB7"/>
    <w:rsid w:val="00DF56D3"/>
    <w:rsid w:val="00DF6E65"/>
    <w:rsid w:val="00DF6EE6"/>
    <w:rsid w:val="00E021D8"/>
    <w:rsid w:val="00E03381"/>
    <w:rsid w:val="00E2052B"/>
    <w:rsid w:val="00E249BB"/>
    <w:rsid w:val="00E30683"/>
    <w:rsid w:val="00E317DE"/>
    <w:rsid w:val="00E34A36"/>
    <w:rsid w:val="00E42348"/>
    <w:rsid w:val="00E50E67"/>
    <w:rsid w:val="00E51609"/>
    <w:rsid w:val="00E5419C"/>
    <w:rsid w:val="00E5713D"/>
    <w:rsid w:val="00E6201F"/>
    <w:rsid w:val="00E63149"/>
    <w:rsid w:val="00E647E2"/>
    <w:rsid w:val="00E678BA"/>
    <w:rsid w:val="00E80798"/>
    <w:rsid w:val="00E80C7D"/>
    <w:rsid w:val="00EA22E3"/>
    <w:rsid w:val="00EA3CA1"/>
    <w:rsid w:val="00EB2A9E"/>
    <w:rsid w:val="00EC2764"/>
    <w:rsid w:val="00EC3480"/>
    <w:rsid w:val="00EC77BE"/>
    <w:rsid w:val="00ED0814"/>
    <w:rsid w:val="00ED7DAD"/>
    <w:rsid w:val="00EE0B3D"/>
    <w:rsid w:val="00EF7492"/>
    <w:rsid w:val="00F02394"/>
    <w:rsid w:val="00F04A98"/>
    <w:rsid w:val="00F0587B"/>
    <w:rsid w:val="00F168CF"/>
    <w:rsid w:val="00F226DF"/>
    <w:rsid w:val="00F23905"/>
    <w:rsid w:val="00F26792"/>
    <w:rsid w:val="00F26BC2"/>
    <w:rsid w:val="00F26FD5"/>
    <w:rsid w:val="00F31B71"/>
    <w:rsid w:val="00F3264D"/>
    <w:rsid w:val="00F3279E"/>
    <w:rsid w:val="00F343ED"/>
    <w:rsid w:val="00F42A13"/>
    <w:rsid w:val="00F44817"/>
    <w:rsid w:val="00F4680B"/>
    <w:rsid w:val="00F46C4E"/>
    <w:rsid w:val="00F47526"/>
    <w:rsid w:val="00F478DE"/>
    <w:rsid w:val="00F550F8"/>
    <w:rsid w:val="00F639F1"/>
    <w:rsid w:val="00F72308"/>
    <w:rsid w:val="00F72AE0"/>
    <w:rsid w:val="00F7322D"/>
    <w:rsid w:val="00F943FE"/>
    <w:rsid w:val="00FA5F58"/>
    <w:rsid w:val="00FB0F78"/>
    <w:rsid w:val="00FB7642"/>
    <w:rsid w:val="00FC04EA"/>
    <w:rsid w:val="00FC2055"/>
    <w:rsid w:val="00FD0111"/>
    <w:rsid w:val="00FD3396"/>
    <w:rsid w:val="00FD6CF2"/>
    <w:rsid w:val="00FD7443"/>
    <w:rsid w:val="00FF26F0"/>
    <w:rsid w:val="00FF5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B4556"/>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2">
    <w:name w:val="Table Web 2"/>
    <w:basedOn w:val="Tabelanormal"/>
    <w:uiPriority w:val="99"/>
    <w:semiHidden/>
    <w:unhideWhenUsed/>
    <w:rsid w:val="00DC4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9C8B-4E60-4E45-80B7-5087C36B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7</Pages>
  <Words>2759</Words>
  <Characters>14899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12</cp:revision>
  <dcterms:created xsi:type="dcterms:W3CDTF">2019-03-29T19:40:00Z</dcterms:created>
  <dcterms:modified xsi:type="dcterms:W3CDTF">2019-05-09T12:50:00Z</dcterms:modified>
</cp:coreProperties>
</file>