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C7276E2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882BCB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79C2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479C2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2F00B7BC" w:rsidR="00E235A4" w:rsidRDefault="00882BCB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Emprega nova redação aos §§ 3º e 5º, constantes do artigo 258, da Resolução nº 306, de 03 de outubro de 1991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77777777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479C2">
        <w:rPr>
          <w:rFonts w:ascii="Arial" w:hAnsi="Arial" w:cs="Arial"/>
          <w:sz w:val="20"/>
          <w:szCs w:val="20"/>
        </w:rPr>
        <w:t>O</w:t>
      </w:r>
      <w:r w:rsidR="00882BCB">
        <w:rPr>
          <w:rFonts w:ascii="Arial" w:hAnsi="Arial" w:cs="Arial"/>
          <w:sz w:val="20"/>
          <w:szCs w:val="20"/>
        </w:rPr>
        <w:t>s parágrafos 3º e 5º, constantes do artigo 258, da Resolução nº 306, de 03 de outubro de 1991, que dispõe sobre o Regimento Interno desta Casa Legislativa, passam a vigorar com a seguinte redação: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A09101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258. (...)</w:t>
      </w:r>
    </w:p>
    <w:p w14:paraId="113D9FFC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E15C1C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CB83C40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A2ECAF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As Comissões tem o prazo conjunto e improrrogável de sete (7) dias para manifestarem-se sobre o veto.</w:t>
      </w:r>
    </w:p>
    <w:p w14:paraId="64C70F87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70CD7" w14:textId="10107EA3" w:rsidR="00E235A4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 O veto deverá ser apreciado pela Câmara dentro de quinze (15) dias a contar</w:t>
      </w:r>
      <w:r w:rsidR="00704153">
        <w:rPr>
          <w:rFonts w:ascii="Arial" w:hAnsi="Arial" w:cs="Arial"/>
          <w:sz w:val="20"/>
          <w:szCs w:val="20"/>
        </w:rPr>
        <w:t xml:space="preserve"> de seu recebimento na Secretaria Administrativa, sob pena de ser considerado tacitamente mantido.”</w:t>
      </w:r>
    </w:p>
    <w:p w14:paraId="63D6DED2" w14:textId="77777777" w:rsidR="00704153" w:rsidRDefault="00704153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2710D4AF" w:rsidR="004303A5" w:rsidRPr="00A32191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267D7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0F3715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F1795">
        <w:rPr>
          <w:rFonts w:ascii="Arial" w:hAnsi="Arial" w:cs="Arial"/>
          <w:sz w:val="20"/>
          <w:szCs w:val="20"/>
        </w:rPr>
        <w:t>12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F1795"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>NATANAEL ALVES GENUÍNO</w:t>
      </w:r>
      <w:r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04153"/>
    <w:rsid w:val="00711239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2022-08-19T13:49:00Z</dcterms:created>
  <dcterms:modified xsi:type="dcterms:W3CDTF">2022-08-19T14:32:00Z</dcterms:modified>
</cp:coreProperties>
</file>