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49EBA4FC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091B6E">
        <w:rPr>
          <w:rFonts w:ascii="Arial" w:hAnsi="Arial" w:cs="Arial"/>
          <w:b/>
          <w:sz w:val="20"/>
          <w:szCs w:val="20"/>
        </w:rPr>
        <w:t>4</w:t>
      </w:r>
      <w:r w:rsidR="00BA007D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91B6E">
        <w:rPr>
          <w:rFonts w:ascii="Arial" w:hAnsi="Arial" w:cs="Arial"/>
          <w:b/>
          <w:sz w:val="20"/>
          <w:szCs w:val="20"/>
        </w:rPr>
        <w:t>1</w:t>
      </w:r>
      <w:r w:rsidR="00BA007D">
        <w:rPr>
          <w:rFonts w:ascii="Arial" w:hAnsi="Arial" w:cs="Arial"/>
          <w:b/>
          <w:sz w:val="20"/>
          <w:szCs w:val="20"/>
        </w:rPr>
        <w:t>2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A007D">
        <w:rPr>
          <w:rFonts w:ascii="Arial" w:hAnsi="Arial" w:cs="Arial"/>
          <w:b/>
          <w:sz w:val="20"/>
          <w:szCs w:val="20"/>
        </w:rPr>
        <w:t>FEVEREIRO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BA007D">
        <w:rPr>
          <w:rFonts w:ascii="Arial" w:hAnsi="Arial" w:cs="Arial"/>
          <w:b/>
          <w:sz w:val="20"/>
          <w:szCs w:val="20"/>
        </w:rPr>
        <w:t>6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32D54B" w14:textId="4AC78E1D" w:rsidR="00BA007D" w:rsidRDefault="00B304F0" w:rsidP="00B304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sz w:val="20"/>
          <w:szCs w:val="20"/>
        </w:rPr>
        <w:t>Dispõe sobre a recomposição da contagem de tempo de serviço dos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servidores da Câmara Municipal de Ferraz de Vasconcelos e autoriza,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observadas as condicionantes legais, o pagamento de diferenças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retroativas, nos termos da Lei Complementar Federal nº 226/2026.</w:t>
      </w:r>
    </w:p>
    <w:p w14:paraId="791FE9FE" w14:textId="77777777" w:rsidR="00B304F0" w:rsidRDefault="00B304F0" w:rsidP="00B304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FB34AAD" w14:textId="2606C314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727DF177" w14:textId="77777777" w:rsidR="009A39A2" w:rsidRDefault="009A39A2" w:rsidP="00D06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E6B59" w14:textId="77777777" w:rsidR="00D06EE4" w:rsidRPr="009A39A2" w:rsidRDefault="00D06EE4" w:rsidP="00D06EE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B9464BE" w14:textId="0303DEF0" w:rsidR="00B304F0" w:rsidRPr="00B304F0" w:rsidRDefault="009A39A2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>Art.</w:t>
      </w:r>
      <w:r w:rsidR="00D06EE4" w:rsidRPr="00D06EE4">
        <w:rPr>
          <w:rFonts w:ascii="Arial" w:hAnsi="Arial" w:cs="Arial"/>
          <w:b/>
          <w:bCs/>
          <w:sz w:val="20"/>
          <w:szCs w:val="20"/>
        </w:rPr>
        <w:t xml:space="preserve"> 1º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B304F0" w:rsidRPr="00B304F0">
        <w:rPr>
          <w:rFonts w:ascii="Arial" w:hAnsi="Arial" w:cs="Arial"/>
          <w:sz w:val="20"/>
          <w:szCs w:val="20"/>
        </w:rPr>
        <w:t>Fica autorizada a recomposição da contagem de tempo de serviço</w:t>
      </w:r>
      <w:r w:rsidR="00B304F0">
        <w:rPr>
          <w:rFonts w:ascii="Arial" w:hAnsi="Arial" w:cs="Arial"/>
          <w:sz w:val="20"/>
          <w:szCs w:val="20"/>
        </w:rPr>
        <w:t xml:space="preserve"> </w:t>
      </w:r>
      <w:r w:rsidR="00B304F0" w:rsidRPr="00B304F0">
        <w:rPr>
          <w:rFonts w:ascii="Arial" w:hAnsi="Arial" w:cs="Arial"/>
          <w:sz w:val="20"/>
          <w:szCs w:val="20"/>
        </w:rPr>
        <w:t>dos servidores públicos da Câmara Municipal de Ferraz de Vasconcelos para fins de concessão</w:t>
      </w:r>
      <w:r w:rsidR="00B304F0">
        <w:rPr>
          <w:rFonts w:ascii="Arial" w:hAnsi="Arial" w:cs="Arial"/>
          <w:sz w:val="20"/>
          <w:szCs w:val="20"/>
        </w:rPr>
        <w:t xml:space="preserve"> </w:t>
      </w:r>
      <w:r w:rsidR="00B304F0" w:rsidRPr="00B304F0">
        <w:rPr>
          <w:rFonts w:ascii="Arial" w:hAnsi="Arial" w:cs="Arial"/>
          <w:sz w:val="20"/>
          <w:szCs w:val="20"/>
        </w:rPr>
        <w:t>de adicional de tempo de serviço, licença-prêmio, sexta-parte e demais mecanismos equivalentes,</w:t>
      </w:r>
      <w:r w:rsidR="00B304F0">
        <w:rPr>
          <w:rFonts w:ascii="Arial" w:hAnsi="Arial" w:cs="Arial"/>
          <w:sz w:val="20"/>
          <w:szCs w:val="20"/>
        </w:rPr>
        <w:t xml:space="preserve"> </w:t>
      </w:r>
      <w:r w:rsidR="00B304F0" w:rsidRPr="00B304F0">
        <w:rPr>
          <w:rFonts w:ascii="Arial" w:hAnsi="Arial" w:cs="Arial"/>
          <w:sz w:val="20"/>
          <w:szCs w:val="20"/>
        </w:rPr>
        <w:t>relativamente ao período de 28 de maio de 2020 a 31 de dezembro de 2021, conforme a Lei</w:t>
      </w:r>
      <w:r w:rsidR="00B304F0">
        <w:rPr>
          <w:rFonts w:ascii="Arial" w:hAnsi="Arial" w:cs="Arial"/>
          <w:sz w:val="20"/>
          <w:szCs w:val="20"/>
        </w:rPr>
        <w:t xml:space="preserve"> </w:t>
      </w:r>
      <w:r w:rsidR="00B304F0" w:rsidRPr="00B304F0">
        <w:rPr>
          <w:rFonts w:ascii="Arial" w:hAnsi="Arial" w:cs="Arial"/>
          <w:sz w:val="20"/>
          <w:szCs w:val="20"/>
        </w:rPr>
        <w:t>Complementar Federal nº 226, de 12 de janeiro de 2026.</w:t>
      </w:r>
    </w:p>
    <w:p w14:paraId="12A5BCEA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E4A4CC7" w14:textId="6046C332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B304F0">
        <w:rPr>
          <w:rFonts w:ascii="Arial" w:hAnsi="Arial" w:cs="Arial"/>
          <w:sz w:val="20"/>
          <w:szCs w:val="20"/>
        </w:rPr>
        <w:t>A recomposição prevista no art. 1º observará o disposto na Lei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Complementar Federal nº 226, de 12 de janeiro de 2026, especialmente quanto à revogação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inciso IX do caput do art. 8° da Lei Complementar nº 173, de 27 de maio de 2020, bem como a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legislação aplicável ao regime jurídico dos servidores do Poder Legislativo Municipal.</w:t>
      </w:r>
    </w:p>
    <w:p w14:paraId="1C27CA2F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E35335" w14:textId="10D053AC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B304F0">
        <w:rPr>
          <w:rFonts w:ascii="Arial" w:hAnsi="Arial" w:cs="Arial"/>
          <w:sz w:val="20"/>
          <w:szCs w:val="20"/>
        </w:rPr>
        <w:t>A recomposição de que trata esta Resolução será efetivada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mediante:</w:t>
      </w:r>
    </w:p>
    <w:p w14:paraId="1F9D2524" w14:textId="77777777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814E12" w14:textId="1306121B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>I</w:t>
      </w:r>
      <w:r w:rsidRPr="00B304F0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B304F0">
        <w:rPr>
          <w:rFonts w:ascii="Arial" w:hAnsi="Arial" w:cs="Arial"/>
          <w:sz w:val="20"/>
          <w:szCs w:val="20"/>
        </w:rPr>
        <w:t>revisão</w:t>
      </w:r>
      <w:proofErr w:type="gramEnd"/>
      <w:r w:rsidRPr="00B304F0">
        <w:rPr>
          <w:rFonts w:ascii="Arial" w:hAnsi="Arial" w:cs="Arial"/>
          <w:sz w:val="20"/>
          <w:szCs w:val="20"/>
        </w:rPr>
        <w:t xml:space="preserve"> dos assentamentos funcionais e atualização dos registros de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tempo de serviço;</w:t>
      </w:r>
    </w:p>
    <w:p w14:paraId="44F44E6F" w14:textId="77777777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0FFBA3" w14:textId="7EBE7638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i/>
          <w:iCs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>II</w:t>
      </w:r>
      <w:r w:rsidRPr="00B304F0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B304F0">
        <w:rPr>
          <w:rFonts w:ascii="Arial" w:hAnsi="Arial" w:cs="Arial"/>
          <w:sz w:val="20"/>
          <w:szCs w:val="20"/>
        </w:rPr>
        <w:t>apuração</w:t>
      </w:r>
      <w:proofErr w:type="gramEnd"/>
      <w:r w:rsidRPr="00B304F0">
        <w:rPr>
          <w:rFonts w:ascii="Arial" w:hAnsi="Arial" w:cs="Arial"/>
          <w:sz w:val="20"/>
          <w:szCs w:val="20"/>
        </w:rPr>
        <w:t xml:space="preserve"> da elegibilidade e das da~ de aquisi</w:t>
      </w:r>
      <w:r>
        <w:rPr>
          <w:rFonts w:ascii="Arial" w:hAnsi="Arial" w:cs="Arial"/>
          <w:sz w:val="20"/>
          <w:szCs w:val="20"/>
        </w:rPr>
        <w:t>ç</w:t>
      </w:r>
      <w:r w:rsidRPr="00B304F0">
        <w:rPr>
          <w:rFonts w:ascii="Arial" w:hAnsi="Arial" w:cs="Arial"/>
          <w:sz w:val="20"/>
          <w:szCs w:val="20"/>
        </w:rPr>
        <w:t>ão e/ou implemento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 xml:space="preserve">das vantagens e institutos previstos no art. 1º; </w:t>
      </w:r>
    </w:p>
    <w:p w14:paraId="082A7858" w14:textId="77777777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8C24F4" w14:textId="3DB9D3F8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</w:t>
      </w:r>
      <w:r w:rsidRPr="00B304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- observância dos direitos adquiridos, do ato jurídico perfeito e da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segurança jurídica</w:t>
      </w:r>
      <w:r>
        <w:rPr>
          <w:rFonts w:ascii="Arial" w:hAnsi="Arial" w:cs="Arial"/>
          <w:sz w:val="20"/>
          <w:szCs w:val="20"/>
        </w:rPr>
        <w:t>.</w:t>
      </w:r>
    </w:p>
    <w:p w14:paraId="063F194A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3B5B2AA" w14:textId="15BB4BC7" w:rsidR="00091B6E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B304F0">
        <w:rPr>
          <w:rFonts w:ascii="Arial" w:hAnsi="Arial" w:cs="Arial"/>
          <w:sz w:val="20"/>
          <w:szCs w:val="20"/>
        </w:rPr>
        <w:t>O pagamento de diferenças retroativas eventualmente apuradas em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decorrência da recomposição prevista nesta Resolução fica autorizado, desde que respeitada a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disponibilidade orçamentária própria do Poder Legislativo, observado o disposto no art. 113 do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Ato das Disposições Constitucionais Transitórias e no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§ 1° do art. 169 da Constituição Federal,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 xml:space="preserve">sem transferência de encargo financeiro a outro ente, nos termos do art. </w:t>
      </w:r>
      <w:r w:rsidRPr="00B304F0">
        <w:rPr>
          <w:rFonts w:ascii="Arial" w:hAnsi="Arial" w:cs="Arial"/>
          <w:b/>
          <w:bCs/>
          <w:sz w:val="20"/>
          <w:szCs w:val="20"/>
        </w:rPr>
        <w:t>8º-</w:t>
      </w:r>
      <w:r w:rsidRPr="00B304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da Lei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Complementar nº 173/2020.</w:t>
      </w:r>
    </w:p>
    <w:p w14:paraId="43234472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0262A9" w14:textId="6CC2B5CE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B304F0">
        <w:rPr>
          <w:rFonts w:ascii="Arial" w:hAnsi="Arial" w:cs="Arial"/>
          <w:sz w:val="20"/>
          <w:szCs w:val="20"/>
        </w:rPr>
        <w:t>A autorização prevista no caput não implica concessão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automática de pagamento, ficando a execução financeira condicionada à prévia instrução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administrativa, a ser realizada após a aprovação desta Resolução, com, no mínimo:</w:t>
      </w:r>
    </w:p>
    <w:p w14:paraId="28E4DC0F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8FC1D6" w14:textId="04C58751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I </w:t>
      </w:r>
      <w:r w:rsidRPr="00B304F0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B304F0">
        <w:rPr>
          <w:rFonts w:ascii="Arial" w:hAnsi="Arial" w:cs="Arial"/>
          <w:sz w:val="20"/>
          <w:szCs w:val="20"/>
        </w:rPr>
        <w:t>demonstrativos</w:t>
      </w:r>
      <w:proofErr w:type="gramEnd"/>
      <w:r w:rsidRPr="00B304F0">
        <w:rPr>
          <w:rFonts w:ascii="Arial" w:hAnsi="Arial" w:cs="Arial"/>
          <w:sz w:val="20"/>
          <w:szCs w:val="20"/>
        </w:rPr>
        <w:t xml:space="preserve"> de cálculo e relatório técnico do setor competente;</w:t>
      </w:r>
    </w:p>
    <w:p w14:paraId="613632C6" w14:textId="77777777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C57F02" w14:textId="6D75EE60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>II</w:t>
      </w:r>
      <w:r w:rsidRPr="00B304F0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B304F0">
        <w:rPr>
          <w:rFonts w:ascii="Arial" w:hAnsi="Arial" w:cs="Arial"/>
          <w:sz w:val="20"/>
          <w:szCs w:val="20"/>
        </w:rPr>
        <w:t>manifestação</w:t>
      </w:r>
      <w:proofErr w:type="gramEnd"/>
      <w:r w:rsidRPr="00B304F0">
        <w:rPr>
          <w:rFonts w:ascii="Arial" w:hAnsi="Arial" w:cs="Arial"/>
          <w:sz w:val="20"/>
          <w:szCs w:val="20"/>
        </w:rPr>
        <w:t xml:space="preserve"> da área contábil e/ou financeira quanto à disponibilidade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orçamentária e adequação do dispêndio;</w:t>
      </w:r>
    </w:p>
    <w:p w14:paraId="1F6546C5" w14:textId="36EA96B9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III</w:t>
      </w:r>
      <w:r w:rsidRPr="00B304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- estimativa do impacto orçamentário-financeiro e declaração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adequação orçamentária e financeira, em conformidade com o art. 113 do ADCT e com o § 1º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do art. 169 da Constituição Federal;</w:t>
      </w:r>
    </w:p>
    <w:p w14:paraId="36219B54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B58C099" w14:textId="60A5079A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B304F0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B304F0">
        <w:rPr>
          <w:rFonts w:ascii="Arial" w:hAnsi="Arial" w:cs="Arial"/>
          <w:sz w:val="20"/>
          <w:szCs w:val="20"/>
        </w:rPr>
        <w:t>registro</w:t>
      </w:r>
      <w:proofErr w:type="gramEnd"/>
      <w:r w:rsidRPr="00B304F0">
        <w:rPr>
          <w:rFonts w:ascii="Arial" w:hAnsi="Arial" w:cs="Arial"/>
          <w:sz w:val="20"/>
          <w:szCs w:val="20"/>
        </w:rPr>
        <w:t xml:space="preserve"> de conformidade pelo controle interno, quando cabível;</w:t>
      </w:r>
    </w:p>
    <w:p w14:paraId="0E849EE8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E15691" w14:textId="75490D00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V </w:t>
      </w:r>
      <w:r w:rsidRPr="00B304F0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B304F0">
        <w:rPr>
          <w:rFonts w:ascii="Arial" w:hAnsi="Arial" w:cs="Arial"/>
          <w:sz w:val="20"/>
          <w:szCs w:val="20"/>
        </w:rPr>
        <w:t>autorização</w:t>
      </w:r>
      <w:proofErr w:type="gramEnd"/>
      <w:r w:rsidRPr="00B304F0">
        <w:rPr>
          <w:rFonts w:ascii="Arial" w:hAnsi="Arial" w:cs="Arial"/>
          <w:sz w:val="20"/>
          <w:szCs w:val="20"/>
        </w:rPr>
        <w:t xml:space="preserve"> do ordenador da despesa.</w:t>
      </w:r>
    </w:p>
    <w:p w14:paraId="2C0C774A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20EBF5" w14:textId="38062B14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B304F0">
        <w:rPr>
          <w:rFonts w:ascii="Arial" w:hAnsi="Arial" w:cs="Arial"/>
          <w:sz w:val="20"/>
          <w:szCs w:val="20"/>
        </w:rPr>
        <w:t>As diferenças retroativas eventualmente devidas poderão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repercutir, quando cabível e conforme a legislação aplicável, no cálculo:</w:t>
      </w:r>
    </w:p>
    <w:p w14:paraId="6B2C23A2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08FC94" w14:textId="5FAF8271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>I -</w:t>
      </w:r>
      <w:r w:rsidRPr="00B304F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304F0">
        <w:rPr>
          <w:rFonts w:ascii="Arial" w:hAnsi="Arial" w:cs="Arial"/>
          <w:sz w:val="20"/>
          <w:szCs w:val="20"/>
        </w:rPr>
        <w:t>das</w:t>
      </w:r>
      <w:proofErr w:type="gramEnd"/>
      <w:r w:rsidRPr="00B304F0">
        <w:rPr>
          <w:rFonts w:ascii="Arial" w:hAnsi="Arial" w:cs="Arial"/>
          <w:sz w:val="20"/>
          <w:szCs w:val="20"/>
        </w:rPr>
        <w:t xml:space="preserve"> férias acrescidas de 50%, na forma da legislação local;</w:t>
      </w:r>
    </w:p>
    <w:p w14:paraId="53D3E82F" w14:textId="77777777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CEAD28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>II</w:t>
      </w:r>
      <w:r w:rsidRPr="00B304F0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B304F0">
        <w:rPr>
          <w:rFonts w:ascii="Arial" w:hAnsi="Arial" w:cs="Arial"/>
          <w:sz w:val="20"/>
          <w:szCs w:val="20"/>
        </w:rPr>
        <w:t>da</w:t>
      </w:r>
      <w:proofErr w:type="gramEnd"/>
      <w:r w:rsidRPr="00B304F0">
        <w:rPr>
          <w:rFonts w:ascii="Arial" w:hAnsi="Arial" w:cs="Arial"/>
          <w:sz w:val="20"/>
          <w:szCs w:val="20"/>
        </w:rPr>
        <w:t xml:space="preserve"> gratificação natalina (13º salário);</w:t>
      </w:r>
    </w:p>
    <w:p w14:paraId="41C274FB" w14:textId="77777777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6FED49" w14:textId="36F96B61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>III</w:t>
      </w:r>
      <w:r w:rsidRPr="00B304F0">
        <w:rPr>
          <w:rFonts w:ascii="Arial" w:hAnsi="Arial" w:cs="Arial"/>
          <w:sz w:val="20"/>
          <w:szCs w:val="20"/>
        </w:rPr>
        <w:t xml:space="preserve"> - de outras verbas cuja base de cálculo esteja vinculada à remuneração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do servidor.</w:t>
      </w:r>
    </w:p>
    <w:p w14:paraId="2615FB9F" w14:textId="77777777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946E77" w14:textId="1ED51A97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B304F0">
        <w:rPr>
          <w:rFonts w:ascii="Arial" w:hAnsi="Arial" w:cs="Arial"/>
          <w:sz w:val="20"/>
          <w:szCs w:val="20"/>
        </w:rPr>
        <w:t>O pagamento das diferenças retroativas poderá ser realizado em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parcela única ou de forma parcelada, conforme conveniência administrativa e disponibilidade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orçamentária, observado o disposto no art. 4°.</w:t>
      </w:r>
    </w:p>
    <w:p w14:paraId="2A00A1F8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B71062" w14:textId="0E53F8C0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B304F0">
        <w:rPr>
          <w:rFonts w:ascii="Arial" w:hAnsi="Arial" w:cs="Arial"/>
          <w:sz w:val="20"/>
          <w:szCs w:val="20"/>
        </w:rPr>
        <w:t>Na hipótese de parcelamento, deverá ser estabelecido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cronograma formal por ato da autoridade competente, com critérios objetivos e isonômicos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aplicáveis a todos os servidores abrangidos, garantindo transparência e uniformidade na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execução.</w:t>
      </w:r>
    </w:p>
    <w:p w14:paraId="685B81A5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0937DD" w14:textId="517BA93F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Art. 7º </w:t>
      </w:r>
      <w:r w:rsidRPr="00B304F0">
        <w:rPr>
          <w:rFonts w:ascii="Arial" w:hAnsi="Arial" w:cs="Arial"/>
          <w:sz w:val="20"/>
          <w:szCs w:val="20"/>
        </w:rPr>
        <w:t>Compete ao Departamento de Recursos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Humanos,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com apoio das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áreas competentes, a execução desta Resolução, especialmente:</w:t>
      </w:r>
    </w:p>
    <w:p w14:paraId="1DDB0717" w14:textId="77777777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714D05" w14:textId="35B115C6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>I</w:t>
      </w:r>
      <w:r w:rsidRPr="00B304F0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B304F0">
        <w:rPr>
          <w:rFonts w:ascii="Arial" w:hAnsi="Arial" w:cs="Arial"/>
          <w:sz w:val="20"/>
          <w:szCs w:val="20"/>
        </w:rPr>
        <w:t>revisar</w:t>
      </w:r>
      <w:proofErr w:type="gramEnd"/>
      <w:r w:rsidRPr="00B304F0">
        <w:rPr>
          <w:rFonts w:ascii="Arial" w:hAnsi="Arial" w:cs="Arial"/>
          <w:sz w:val="20"/>
          <w:szCs w:val="20"/>
        </w:rPr>
        <w:t xml:space="preserve"> assentamentos e promovei as' anotações e atualizações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necessárias;</w:t>
      </w:r>
    </w:p>
    <w:p w14:paraId="0470C1C4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AA48552" w14:textId="1969A1CC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B304F0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B304F0">
        <w:rPr>
          <w:rFonts w:ascii="Arial" w:hAnsi="Arial" w:cs="Arial"/>
          <w:sz w:val="20"/>
          <w:szCs w:val="20"/>
        </w:rPr>
        <w:t>apurar</w:t>
      </w:r>
      <w:proofErr w:type="gramEnd"/>
      <w:r w:rsidRPr="00B304F0">
        <w:rPr>
          <w:rFonts w:ascii="Arial" w:hAnsi="Arial" w:cs="Arial"/>
          <w:sz w:val="20"/>
          <w:szCs w:val="20"/>
        </w:rPr>
        <w:t xml:space="preserve"> períodos, condições e elegibilidade;</w:t>
      </w:r>
    </w:p>
    <w:p w14:paraId="56EB3C00" w14:textId="77777777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B41A3E" w14:textId="70E985D9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B304F0">
        <w:rPr>
          <w:rFonts w:ascii="Arial" w:hAnsi="Arial" w:cs="Arial"/>
          <w:sz w:val="20"/>
          <w:szCs w:val="20"/>
        </w:rPr>
        <w:t>- elaborar demonstrativos individualizados e consolidados, com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memória de cálculo;</w:t>
      </w:r>
    </w:p>
    <w:p w14:paraId="038A03EC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4DBE22C" w14:textId="03D8B17F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B304F0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B304F0">
        <w:rPr>
          <w:rFonts w:ascii="Arial" w:hAnsi="Arial" w:cs="Arial"/>
          <w:sz w:val="20"/>
          <w:szCs w:val="20"/>
        </w:rPr>
        <w:t>encaminhar</w:t>
      </w:r>
      <w:proofErr w:type="gramEnd"/>
      <w:r w:rsidRPr="00B304F0">
        <w:rPr>
          <w:rFonts w:ascii="Arial" w:hAnsi="Arial" w:cs="Arial"/>
          <w:sz w:val="20"/>
          <w:szCs w:val="20"/>
        </w:rPr>
        <w:t xml:space="preserve"> a documentação às áreas contábil/financeira e de controle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interno para as manifestações pertinentes, quando necessário;</w:t>
      </w:r>
    </w:p>
    <w:p w14:paraId="49E7C1B4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1F46F3" w14:textId="294ABAB5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V </w:t>
      </w:r>
      <w:r w:rsidRPr="00B304F0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B304F0">
        <w:rPr>
          <w:rFonts w:ascii="Arial" w:hAnsi="Arial" w:cs="Arial"/>
          <w:sz w:val="20"/>
          <w:szCs w:val="20"/>
        </w:rPr>
        <w:t>manter</w:t>
      </w:r>
      <w:proofErr w:type="gramEnd"/>
      <w:r w:rsidRPr="00B304F0">
        <w:rPr>
          <w:rFonts w:ascii="Arial" w:hAnsi="Arial" w:cs="Arial"/>
          <w:sz w:val="20"/>
          <w:szCs w:val="20"/>
        </w:rPr>
        <w:t xml:space="preserve"> os registros e relatórios disponíveis para fins de transparência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e fiscalização</w:t>
      </w:r>
      <w:r>
        <w:rPr>
          <w:rFonts w:ascii="Arial" w:hAnsi="Arial" w:cs="Arial"/>
          <w:sz w:val="20"/>
          <w:szCs w:val="20"/>
        </w:rPr>
        <w:t>.</w:t>
      </w:r>
    </w:p>
    <w:p w14:paraId="43D10113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25C466" w14:textId="38B9322B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Art. 8° </w:t>
      </w:r>
      <w:r w:rsidRPr="00B304F0">
        <w:rPr>
          <w:rFonts w:ascii="Arial" w:hAnsi="Arial" w:cs="Arial"/>
          <w:sz w:val="20"/>
          <w:szCs w:val="20"/>
        </w:rPr>
        <w:t>Esta Resolução aplica-se exclusivamente aos servidores da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Municipal de Ferraz de Vasconcelos.</w:t>
      </w:r>
    </w:p>
    <w:p w14:paraId="5CA6C34B" w14:textId="77777777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757062" w14:textId="6045F1FB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Art. 9º </w:t>
      </w:r>
      <w:r w:rsidRPr="00B304F0">
        <w:rPr>
          <w:rFonts w:ascii="Arial" w:hAnsi="Arial" w:cs="Arial"/>
          <w:sz w:val="20"/>
          <w:szCs w:val="20"/>
        </w:rPr>
        <w:t>As despesas decorrentes da execução desta Resolução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B304F0">
        <w:rPr>
          <w:rFonts w:ascii="Arial" w:hAnsi="Arial" w:cs="Arial"/>
          <w:sz w:val="20"/>
          <w:szCs w:val="20"/>
        </w:rPr>
        <w:t>conta de dotações orçamentárias próprias do Poder Legislativo, suplementadas se necessário.</w:t>
      </w:r>
    </w:p>
    <w:p w14:paraId="064B24AB" w14:textId="77777777" w:rsid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DE9772D" w14:textId="0BCA7889" w:rsidR="00B304F0" w:rsidRPr="00B304F0" w:rsidRDefault="00B304F0" w:rsidP="00B30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4F0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B304F0">
        <w:rPr>
          <w:rFonts w:ascii="Arial" w:hAnsi="Arial" w:cs="Arial"/>
          <w:sz w:val="20"/>
          <w:szCs w:val="20"/>
        </w:rPr>
        <w:t>Esta Resolução entra em vigor em 1º de março de 2026.</w:t>
      </w:r>
    </w:p>
    <w:p w14:paraId="4C629DC2" w14:textId="77777777" w:rsidR="00A87B58" w:rsidRDefault="00A87B5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8C544B" w14:textId="77777777" w:rsidR="00B304F0" w:rsidRDefault="00B304F0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50ADBECD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091B6E">
        <w:rPr>
          <w:rFonts w:ascii="Arial" w:hAnsi="Arial" w:cs="Arial"/>
          <w:sz w:val="20"/>
          <w:szCs w:val="20"/>
        </w:rPr>
        <w:t>1</w:t>
      </w:r>
      <w:r w:rsidR="00BA007D">
        <w:rPr>
          <w:rFonts w:ascii="Arial" w:hAnsi="Arial" w:cs="Arial"/>
          <w:sz w:val="20"/>
          <w:szCs w:val="20"/>
        </w:rPr>
        <w:t>2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BA007D">
        <w:rPr>
          <w:rFonts w:ascii="Arial" w:hAnsi="Arial" w:cs="Arial"/>
          <w:sz w:val="20"/>
          <w:szCs w:val="20"/>
        </w:rPr>
        <w:t>fevereiro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BA007D">
        <w:rPr>
          <w:rFonts w:ascii="Arial" w:hAnsi="Arial" w:cs="Arial"/>
          <w:sz w:val="20"/>
          <w:szCs w:val="20"/>
        </w:rPr>
        <w:t>6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A223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AB7A44" w14:textId="5E0A6E21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73354E">
        <w:rPr>
          <w:rFonts w:ascii="Arial" w:hAnsi="Arial" w:cs="Arial"/>
          <w:sz w:val="20"/>
          <w:szCs w:val="20"/>
        </w:rPr>
        <w:t>8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392511">
        <w:rPr>
          <w:rFonts w:ascii="Arial" w:hAnsi="Arial" w:cs="Arial"/>
          <w:sz w:val="20"/>
          <w:szCs w:val="20"/>
        </w:rPr>
        <w:t>1</w:t>
      </w:r>
      <w:r w:rsidR="00A87B58">
        <w:rPr>
          <w:rFonts w:ascii="Arial" w:hAnsi="Arial" w:cs="Arial"/>
          <w:sz w:val="20"/>
          <w:szCs w:val="20"/>
        </w:rPr>
        <w:t>6</w:t>
      </w:r>
      <w:r w:rsidR="0073354E">
        <w:rPr>
          <w:rFonts w:ascii="Arial" w:hAnsi="Arial" w:cs="Arial"/>
          <w:sz w:val="20"/>
          <w:szCs w:val="20"/>
        </w:rPr>
        <w:t xml:space="preserve"> </w:t>
      </w:r>
      <w:r w:rsidR="00A87B58">
        <w:rPr>
          <w:rFonts w:ascii="Arial" w:hAnsi="Arial" w:cs="Arial"/>
          <w:sz w:val="20"/>
          <w:szCs w:val="20"/>
        </w:rPr>
        <w:t>a</w:t>
      </w:r>
      <w:r w:rsidR="0073354E">
        <w:rPr>
          <w:rFonts w:ascii="Arial" w:hAnsi="Arial" w:cs="Arial"/>
          <w:sz w:val="20"/>
          <w:szCs w:val="20"/>
        </w:rPr>
        <w:t xml:space="preserve"> 1</w:t>
      </w:r>
      <w:r w:rsidR="00A87B58">
        <w:rPr>
          <w:rFonts w:ascii="Arial" w:hAnsi="Arial" w:cs="Arial"/>
          <w:sz w:val="20"/>
          <w:szCs w:val="20"/>
        </w:rPr>
        <w:t>8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04C35A1D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8FC522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1D3FE7" w14:textId="3D90D80C" w:rsidR="00A76279" w:rsidRPr="00A76279" w:rsidRDefault="00A76279" w:rsidP="00A76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6279">
        <w:rPr>
          <w:rFonts w:ascii="Arial" w:hAnsi="Arial" w:cs="Arial"/>
          <w:sz w:val="20"/>
          <w:szCs w:val="20"/>
        </w:rPr>
        <w:t xml:space="preserve">Autores do Projeto de Resolução: Mesa Diretora - Vereadores </w:t>
      </w:r>
      <w:proofErr w:type="spellStart"/>
      <w:r w:rsidRPr="00A76279">
        <w:rPr>
          <w:rFonts w:ascii="Arial" w:hAnsi="Arial" w:cs="Arial"/>
          <w:sz w:val="20"/>
          <w:szCs w:val="20"/>
        </w:rPr>
        <w:t>Hodirlei</w:t>
      </w:r>
      <w:proofErr w:type="spellEnd"/>
      <w:r w:rsidRPr="00A76279">
        <w:rPr>
          <w:rFonts w:ascii="Arial" w:hAnsi="Arial" w:cs="Arial"/>
          <w:sz w:val="20"/>
          <w:szCs w:val="20"/>
        </w:rPr>
        <w:t xml:space="preserve"> Martins Pereira - MDB, Alexandro Santos Alves Silva - MDB, Claudio Ramos Moreira - PT, Marcos Antônio Castello - PL, Eliel de Souza - Republicanos.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1B6E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307D"/>
    <w:rsid w:val="00166F95"/>
    <w:rsid w:val="001717A5"/>
    <w:rsid w:val="001746C7"/>
    <w:rsid w:val="001758A4"/>
    <w:rsid w:val="00182EB6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320EC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D16FB"/>
    <w:rsid w:val="002E16F6"/>
    <w:rsid w:val="002E5AB1"/>
    <w:rsid w:val="002F32C6"/>
    <w:rsid w:val="002F794A"/>
    <w:rsid w:val="00324306"/>
    <w:rsid w:val="00332826"/>
    <w:rsid w:val="00336BDF"/>
    <w:rsid w:val="003459CB"/>
    <w:rsid w:val="003469DA"/>
    <w:rsid w:val="0035404A"/>
    <w:rsid w:val="0038456E"/>
    <w:rsid w:val="00392511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664C9"/>
    <w:rsid w:val="00473237"/>
    <w:rsid w:val="00480506"/>
    <w:rsid w:val="00486E5D"/>
    <w:rsid w:val="00490752"/>
    <w:rsid w:val="00494230"/>
    <w:rsid w:val="004D0AA2"/>
    <w:rsid w:val="004D37E0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455B"/>
    <w:rsid w:val="00595776"/>
    <w:rsid w:val="005A4707"/>
    <w:rsid w:val="005C09FE"/>
    <w:rsid w:val="005C27DE"/>
    <w:rsid w:val="005C3C78"/>
    <w:rsid w:val="005C638F"/>
    <w:rsid w:val="005D10C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423AD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3354E"/>
    <w:rsid w:val="00740474"/>
    <w:rsid w:val="00744D25"/>
    <w:rsid w:val="0074641C"/>
    <w:rsid w:val="00762D24"/>
    <w:rsid w:val="00762FD1"/>
    <w:rsid w:val="0077417A"/>
    <w:rsid w:val="00781956"/>
    <w:rsid w:val="00784529"/>
    <w:rsid w:val="007916F1"/>
    <w:rsid w:val="00794339"/>
    <w:rsid w:val="00796F7A"/>
    <w:rsid w:val="007A5A89"/>
    <w:rsid w:val="007B070D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E2052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39A2"/>
    <w:rsid w:val="009A4CE2"/>
    <w:rsid w:val="009A659E"/>
    <w:rsid w:val="009B56DB"/>
    <w:rsid w:val="009C4E89"/>
    <w:rsid w:val="009D28AB"/>
    <w:rsid w:val="009D3C93"/>
    <w:rsid w:val="009D768B"/>
    <w:rsid w:val="009E5397"/>
    <w:rsid w:val="009F750E"/>
    <w:rsid w:val="00A037FD"/>
    <w:rsid w:val="00A05E50"/>
    <w:rsid w:val="00A175B8"/>
    <w:rsid w:val="00A2235D"/>
    <w:rsid w:val="00A32191"/>
    <w:rsid w:val="00A45E72"/>
    <w:rsid w:val="00A5271B"/>
    <w:rsid w:val="00A63847"/>
    <w:rsid w:val="00A759E2"/>
    <w:rsid w:val="00A76279"/>
    <w:rsid w:val="00A872DE"/>
    <w:rsid w:val="00A87B58"/>
    <w:rsid w:val="00A9397E"/>
    <w:rsid w:val="00A96254"/>
    <w:rsid w:val="00A97FC1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304F0"/>
    <w:rsid w:val="00B6599E"/>
    <w:rsid w:val="00B675B2"/>
    <w:rsid w:val="00B70CFB"/>
    <w:rsid w:val="00B75729"/>
    <w:rsid w:val="00B80970"/>
    <w:rsid w:val="00B81082"/>
    <w:rsid w:val="00B861FD"/>
    <w:rsid w:val="00B911A8"/>
    <w:rsid w:val="00BA007D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1934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06EE4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D7235"/>
    <w:rsid w:val="00DE294F"/>
    <w:rsid w:val="00DE2D8B"/>
    <w:rsid w:val="00DE37DF"/>
    <w:rsid w:val="00DF1EEE"/>
    <w:rsid w:val="00DF5980"/>
    <w:rsid w:val="00DF5B64"/>
    <w:rsid w:val="00DF6984"/>
    <w:rsid w:val="00E03F1C"/>
    <w:rsid w:val="00E052A6"/>
    <w:rsid w:val="00E15B4A"/>
    <w:rsid w:val="00E30138"/>
    <w:rsid w:val="00E30AB1"/>
    <w:rsid w:val="00E31207"/>
    <w:rsid w:val="00E42FE5"/>
    <w:rsid w:val="00E473C2"/>
    <w:rsid w:val="00E50F45"/>
    <w:rsid w:val="00E66125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5383E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813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hp</cp:lastModifiedBy>
  <cp:revision>5</cp:revision>
  <dcterms:created xsi:type="dcterms:W3CDTF">2026-02-19T17:47:00Z</dcterms:created>
  <dcterms:modified xsi:type="dcterms:W3CDTF">2026-02-26T13:23:00Z</dcterms:modified>
</cp:coreProperties>
</file>