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8EB1EE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</w:t>
      </w:r>
      <w:r w:rsidR="008A78AF">
        <w:rPr>
          <w:rFonts w:ascii="Arial" w:hAnsi="Arial" w:cs="Arial"/>
          <w:b/>
          <w:sz w:val="20"/>
          <w:szCs w:val="20"/>
        </w:rPr>
        <w:t>4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8A78AF">
        <w:rPr>
          <w:rFonts w:ascii="Arial" w:hAnsi="Arial" w:cs="Arial"/>
          <w:b/>
          <w:sz w:val="20"/>
          <w:szCs w:val="20"/>
        </w:rPr>
        <w:t>17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E44D43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E737BE" w14:textId="453ABA5B" w:rsidR="00D46B63" w:rsidRDefault="00E44D43" w:rsidP="00B750EF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E44D43">
        <w:rPr>
          <w:rFonts w:ascii="Arial" w:hAnsi="Arial" w:cs="Arial"/>
          <w:bCs/>
          <w:sz w:val="20"/>
          <w:szCs w:val="20"/>
        </w:rPr>
        <w:t xml:space="preserve">Dispõe sobre </w:t>
      </w:r>
      <w:r w:rsidR="008A78AF">
        <w:rPr>
          <w:rFonts w:ascii="Arial" w:hAnsi="Arial" w:cs="Arial"/>
          <w:bCs/>
          <w:sz w:val="20"/>
          <w:szCs w:val="20"/>
        </w:rPr>
        <w:t xml:space="preserve">a revisão geral anual nos vencimentos dos servidores públicos da Administração Municipal e dá outras providências. </w:t>
      </w:r>
    </w:p>
    <w:p w14:paraId="463BFE23" w14:textId="77777777" w:rsidR="00B37B3B" w:rsidRPr="000066E1" w:rsidRDefault="00B37B3B" w:rsidP="00102C1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102C1D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102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102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102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102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91B886" w14:textId="2646ADC0" w:rsidR="00E44D43" w:rsidRPr="00E44D43" w:rsidRDefault="00D46B63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8A78AF">
        <w:rPr>
          <w:rFonts w:ascii="Arial" w:hAnsi="Arial" w:cs="Arial"/>
          <w:sz w:val="20"/>
          <w:szCs w:val="20"/>
        </w:rPr>
        <w:t>Fica concedida a revisão geral anual nos vencimentos e proventos dos servidores efetivos, comissionados, temporários, ativos, inativos e pensionistas no âmbito do Poder Executivo, bem como nos vencimentos dos membros do Conselho Tutelar do Município, aplicando-se o índice de 4,50% (quatro inteiros e cinquenta centésimos percentuais), em observância ao previsto no inciso X, art. 37, da Constituição Federal.</w:t>
      </w:r>
    </w:p>
    <w:p w14:paraId="1C209A00" w14:textId="77777777" w:rsidR="00E44D43" w:rsidRDefault="00E44D43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E567F1" w14:textId="634D309A" w:rsidR="00E44D43" w:rsidRDefault="001A45CF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revisão geral anual, disposta no caput deste artigo, não se aplica aos vencimentos dos: </w:t>
      </w:r>
    </w:p>
    <w:p w14:paraId="117EED8A" w14:textId="77777777" w:rsidR="001A45CF" w:rsidRDefault="001A45CF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AA8B96" w14:textId="67BE9CC8" w:rsidR="001A45CF" w:rsidRDefault="001A45CF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Agentes Políticos; </w:t>
      </w:r>
    </w:p>
    <w:p w14:paraId="674CB8B2" w14:textId="77777777" w:rsidR="001A45CF" w:rsidRDefault="001A45CF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996709" w14:textId="6802408F" w:rsidR="00BE7518" w:rsidRDefault="001A45CF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Emprego público de Agente Comunitário de Saúde e cargos de Agente de Combate à Endemias e Agente de Controle de Vetores, que possuem lei específica de reajuste salarial anual, em consonância com o art. </w:t>
      </w:r>
    </w:p>
    <w:p w14:paraId="2101D87D" w14:textId="77777777" w:rsidR="001A45CF" w:rsidRDefault="001A45CF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11E18E" w14:textId="1955BB84" w:rsidR="001A45CF" w:rsidRDefault="001A45CF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Profissionais do Magistério da Educação Básica Pública Municipal, em decorrência da fixação do piso salaria nacional, fixado pela Portaria MEC n° 82, de 29 de janeiro de 2026 e regulamento em lei específica de adequação salarial, em consonância com a Lei Federal n° 11.738, de 16 de julho de 2008. </w:t>
      </w:r>
    </w:p>
    <w:p w14:paraId="7D3D079C" w14:textId="77777777" w:rsidR="001A45CF" w:rsidRDefault="001A45CF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9DAC64" w14:textId="1EE215FB" w:rsidR="001A45CF" w:rsidRDefault="001A45CF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2° </w:t>
      </w:r>
      <w:r>
        <w:rPr>
          <w:rFonts w:ascii="Arial" w:hAnsi="Arial" w:cs="Arial"/>
          <w:sz w:val="20"/>
          <w:szCs w:val="20"/>
        </w:rPr>
        <w:t>O percentual disposto</w:t>
      </w:r>
      <w:r w:rsidR="00102C1D">
        <w:rPr>
          <w:rFonts w:ascii="Arial" w:hAnsi="Arial" w:cs="Arial"/>
          <w:sz w:val="20"/>
          <w:szCs w:val="20"/>
        </w:rPr>
        <w:t xml:space="preserve"> no caput do art. 1° desta Lei, trata-se do IPCA/IBGE – índice Nacional de Preços ao Consumidor Amplo acumulados nos últimos 12 (doze) meses.</w:t>
      </w:r>
    </w:p>
    <w:p w14:paraId="4AE5D452" w14:textId="77777777" w:rsidR="00102C1D" w:rsidRDefault="00102C1D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0E0A89" w14:textId="2137B35B" w:rsidR="00102C1D" w:rsidRDefault="00102C1D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>As despesas decorrentes da aplicação da presente Lei serão custeadas por dotações próprias do orçamento.</w:t>
      </w:r>
    </w:p>
    <w:p w14:paraId="7B432416" w14:textId="77777777" w:rsidR="00102C1D" w:rsidRDefault="00102C1D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769CA4" w14:textId="29953681" w:rsidR="00102C1D" w:rsidRDefault="00102C1D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>Esta Lei entra em vigor na data de sua publicação, com efeitos a partir de 1° de março de 2026.</w:t>
      </w:r>
    </w:p>
    <w:p w14:paraId="529B6AA0" w14:textId="77777777" w:rsidR="00102C1D" w:rsidRPr="00102C1D" w:rsidRDefault="00102C1D" w:rsidP="00102C1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2E5C18" w14:textId="77777777" w:rsidR="00DF6123" w:rsidRDefault="00DF6123" w:rsidP="00102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690ADB6C" w:rsidR="00E942B8" w:rsidRPr="00364ABD" w:rsidRDefault="00B12A90" w:rsidP="00102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02C1D">
        <w:rPr>
          <w:rFonts w:ascii="Arial" w:hAnsi="Arial" w:cs="Arial"/>
          <w:sz w:val="20"/>
          <w:szCs w:val="20"/>
        </w:rPr>
        <w:t>17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E44D43">
        <w:rPr>
          <w:rFonts w:ascii="Arial" w:hAnsi="Arial" w:cs="Arial"/>
          <w:sz w:val="20"/>
          <w:szCs w:val="20"/>
        </w:rPr>
        <w:t>março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2EA1B9D" w14:textId="77777777" w:rsidR="00BE7518" w:rsidRDefault="00BE7518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EF16D5" w14:textId="77777777" w:rsidR="00E92AE1" w:rsidRDefault="00E92AE1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4DE57F" w14:textId="7880FB2E" w:rsidR="00BE7518" w:rsidRDefault="00E92AE1" w:rsidP="00BE75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CL</w:t>
      </w:r>
      <w:r w:rsidR="001178F8">
        <w:rPr>
          <w:rFonts w:ascii="Arial" w:eastAsia="Times New Roman" w:hAnsi="Arial" w:cs="Arial"/>
          <w:sz w:val="20"/>
          <w:szCs w:val="20"/>
          <w:lang w:eastAsia="pt-BR"/>
        </w:rPr>
        <w:t>É</w:t>
      </w:r>
      <w:r>
        <w:rPr>
          <w:rFonts w:ascii="Arial" w:eastAsia="Times New Roman" w:hAnsi="Arial" w:cs="Arial"/>
          <w:sz w:val="20"/>
          <w:szCs w:val="20"/>
          <w:lang w:eastAsia="pt-BR"/>
        </w:rPr>
        <w:t>CIO FRANCISCO GONÇALVES</w:t>
      </w:r>
    </w:p>
    <w:p w14:paraId="3F6A27BC" w14:textId="27AAF11E" w:rsidR="00BE7518" w:rsidRDefault="00BE7518" w:rsidP="00BE75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Secretário Municipal de 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>Saúde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63F0D208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102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D3069A3" w14:textId="02A73748" w:rsidR="00E92AE1" w:rsidRPr="00E92AE1" w:rsidRDefault="00E92AE1" w:rsidP="00E92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Pr="00E92AE1">
        <w:rPr>
          <w:rFonts w:ascii="Arial" w:eastAsia="Times New Roman" w:hAnsi="Arial" w:cs="Arial"/>
          <w:sz w:val="20"/>
          <w:szCs w:val="20"/>
          <w:lang w:eastAsia="pt-BR"/>
        </w:rPr>
        <w:t>Renato Ramos de Souza - P</w:t>
      </w:r>
      <w:r>
        <w:rPr>
          <w:rFonts w:ascii="Arial" w:eastAsia="Times New Roman" w:hAnsi="Arial" w:cs="Arial"/>
          <w:sz w:val="20"/>
          <w:szCs w:val="20"/>
          <w:lang w:eastAsia="pt-BR"/>
        </w:rPr>
        <w:t>L</w:t>
      </w:r>
    </w:p>
    <w:p w14:paraId="483AEDCB" w14:textId="3F56DE9E" w:rsidR="00951EE5" w:rsidRDefault="00E92AE1" w:rsidP="00E92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92AE1">
        <w:rPr>
          <w:rFonts w:ascii="Arial" w:eastAsia="Times New Roman" w:hAnsi="Arial" w:cs="Arial"/>
          <w:sz w:val="20"/>
          <w:szCs w:val="20"/>
          <w:lang w:eastAsia="pt-BR"/>
        </w:rPr>
        <w:t>Subscrito pelo Vereador Eliel de Souza - Republicanos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750E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2026-03-20T13:34:00Z</dcterms:created>
  <dcterms:modified xsi:type="dcterms:W3CDTF">2026-03-20T14:02:00Z</dcterms:modified>
</cp:coreProperties>
</file>