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6D6AD5A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F13BFE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F13BFE">
        <w:rPr>
          <w:rFonts w:ascii="Arial" w:hAnsi="Arial" w:cs="Arial"/>
          <w:b/>
          <w:sz w:val="20"/>
          <w:szCs w:val="20"/>
        </w:rPr>
        <w:t>27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4D140071" w:rsidR="00D46B63" w:rsidRDefault="00F13BFE" w:rsidP="00766CCF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E44D43" w:rsidRPr="00E44D43">
        <w:rPr>
          <w:rFonts w:ascii="Arial" w:hAnsi="Arial" w:cs="Arial"/>
          <w:bCs/>
          <w:sz w:val="20"/>
          <w:szCs w:val="20"/>
        </w:rPr>
        <w:t xml:space="preserve">Dispõe sobre </w:t>
      </w:r>
      <w:r w:rsidR="008A78AF">
        <w:rPr>
          <w:rFonts w:ascii="Arial" w:hAnsi="Arial" w:cs="Arial"/>
          <w:bCs/>
          <w:sz w:val="20"/>
          <w:szCs w:val="20"/>
        </w:rPr>
        <w:t xml:space="preserve">a </w:t>
      </w:r>
      <w:r w:rsidR="000D57CE">
        <w:rPr>
          <w:rFonts w:ascii="Arial" w:hAnsi="Arial" w:cs="Arial"/>
          <w:bCs/>
          <w:sz w:val="20"/>
          <w:szCs w:val="20"/>
        </w:rPr>
        <w:t xml:space="preserve">revisão geral </w:t>
      </w:r>
      <w:r>
        <w:rPr>
          <w:rFonts w:ascii="Arial" w:hAnsi="Arial" w:cs="Arial"/>
          <w:bCs/>
          <w:sz w:val="20"/>
          <w:szCs w:val="20"/>
        </w:rPr>
        <w:t>anual dos subsídios da Prefeita, Vice-Prefeito e Secretários Municipais.”</w:t>
      </w:r>
    </w:p>
    <w:p w14:paraId="463BFE23" w14:textId="77777777" w:rsidR="00B37B3B" w:rsidRPr="000066E1" w:rsidRDefault="00B37B3B" w:rsidP="00102C1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146828" w14:textId="16B89A42" w:rsidR="00F13BFE" w:rsidRPr="00F13BFE" w:rsidRDefault="00F13BFE" w:rsidP="00F13BF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3BFE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Pr="00F13BFE">
        <w:rPr>
          <w:rFonts w:ascii="Arial" w:hAnsi="Arial" w:cs="Arial"/>
          <w:sz w:val="20"/>
          <w:szCs w:val="20"/>
        </w:rPr>
        <w:t>Fica concedida a revisão geral anual aos subsídios da</w:t>
      </w:r>
      <w:r w:rsidRPr="00F13BFE">
        <w:rPr>
          <w:rFonts w:ascii="Arial" w:hAnsi="Arial" w:cs="Arial"/>
          <w:sz w:val="20"/>
          <w:szCs w:val="20"/>
        </w:rPr>
        <w:t xml:space="preserve"> </w:t>
      </w:r>
      <w:r w:rsidRPr="00F13BFE">
        <w:rPr>
          <w:rFonts w:ascii="Arial" w:hAnsi="Arial" w:cs="Arial"/>
          <w:sz w:val="20"/>
          <w:szCs w:val="20"/>
        </w:rPr>
        <w:t>Prefeita, Vice-Prefeito e Secretários Municipais, em conformidade com a legislação</w:t>
      </w:r>
      <w:r w:rsidRPr="00F13BFE">
        <w:rPr>
          <w:rFonts w:ascii="Arial" w:hAnsi="Arial" w:cs="Arial"/>
          <w:sz w:val="20"/>
          <w:szCs w:val="20"/>
        </w:rPr>
        <w:t xml:space="preserve"> </w:t>
      </w:r>
      <w:r w:rsidRPr="00F13BFE">
        <w:rPr>
          <w:rFonts w:ascii="Arial" w:hAnsi="Arial" w:cs="Arial"/>
          <w:sz w:val="20"/>
          <w:szCs w:val="20"/>
        </w:rPr>
        <w:t>vigente.</w:t>
      </w:r>
    </w:p>
    <w:p w14:paraId="550685CD" w14:textId="77777777" w:rsidR="00F13BFE" w:rsidRPr="00F13BFE" w:rsidRDefault="00F13BFE" w:rsidP="00F13BF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E5D452" w14:textId="3B357552" w:rsidR="00102C1D" w:rsidRPr="00F13BFE" w:rsidRDefault="00F13BFE" w:rsidP="00F13BF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3BFE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F13BFE">
        <w:rPr>
          <w:rFonts w:ascii="Arial" w:hAnsi="Arial" w:cs="Arial"/>
          <w:sz w:val="20"/>
          <w:szCs w:val="20"/>
        </w:rPr>
        <w:t>O índice da revisão geral anual de que trata o artigo 1°</w:t>
      </w:r>
      <w:r w:rsidRPr="00F13BFE">
        <w:rPr>
          <w:rFonts w:ascii="Arial" w:hAnsi="Arial" w:cs="Arial"/>
          <w:sz w:val="20"/>
          <w:szCs w:val="20"/>
        </w:rPr>
        <w:t xml:space="preserve"> </w:t>
      </w:r>
      <w:r w:rsidRPr="00F13BFE">
        <w:rPr>
          <w:rFonts w:ascii="Arial" w:hAnsi="Arial" w:cs="Arial"/>
          <w:sz w:val="20"/>
          <w:szCs w:val="20"/>
        </w:rPr>
        <w:t>desta Lei será de 4,50% (quatro inteiros e cinquenta centésimos percentuais),</w:t>
      </w:r>
      <w:r w:rsidRPr="00F13BFE">
        <w:rPr>
          <w:rFonts w:ascii="Arial" w:hAnsi="Arial" w:cs="Arial"/>
          <w:sz w:val="20"/>
          <w:szCs w:val="20"/>
        </w:rPr>
        <w:t xml:space="preserve"> </w:t>
      </w:r>
      <w:r w:rsidRPr="00F13BFE">
        <w:rPr>
          <w:rFonts w:ascii="Arial" w:hAnsi="Arial" w:cs="Arial"/>
          <w:sz w:val="20"/>
          <w:szCs w:val="20"/>
        </w:rPr>
        <w:t>correspondente ao IPCA-IBGE acumulado nos últimos 12 (doze) meses.</w:t>
      </w:r>
    </w:p>
    <w:p w14:paraId="0672E70F" w14:textId="77777777" w:rsidR="00132434" w:rsidRPr="00132434" w:rsidRDefault="00132434" w:rsidP="00F13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E5C18" w14:textId="1290B9EA" w:rsidR="00DF6123" w:rsidRDefault="00132434" w:rsidP="001324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43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13BFE">
        <w:rPr>
          <w:rFonts w:ascii="Arial" w:hAnsi="Arial" w:cs="Arial"/>
          <w:b/>
          <w:bCs/>
          <w:sz w:val="20"/>
          <w:szCs w:val="20"/>
        </w:rPr>
        <w:t>3</w:t>
      </w:r>
      <w:r w:rsidRPr="00132434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132434">
        <w:rPr>
          <w:rFonts w:ascii="Arial" w:hAnsi="Arial" w:cs="Arial"/>
          <w:sz w:val="20"/>
          <w:szCs w:val="20"/>
        </w:rPr>
        <w:t>Esta Lei entra em vigor na data de sua publicação e</w:t>
      </w:r>
      <w:r>
        <w:rPr>
          <w:rFonts w:ascii="Arial" w:hAnsi="Arial" w:cs="Arial"/>
          <w:sz w:val="20"/>
          <w:szCs w:val="20"/>
        </w:rPr>
        <w:t xml:space="preserve"> </w:t>
      </w:r>
      <w:r w:rsidR="00F13BFE">
        <w:rPr>
          <w:rFonts w:ascii="Arial" w:hAnsi="Arial" w:cs="Arial"/>
          <w:sz w:val="20"/>
          <w:szCs w:val="20"/>
        </w:rPr>
        <w:t>seus efeitos retroagirão em 1° de março de 2026.</w:t>
      </w:r>
    </w:p>
    <w:p w14:paraId="54C43920" w14:textId="77777777" w:rsidR="00132434" w:rsidRDefault="00132434" w:rsidP="001324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E1C106" w14:textId="77777777" w:rsidR="00132434" w:rsidRDefault="00132434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C1E3A14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F13BFE">
        <w:rPr>
          <w:rFonts w:ascii="Arial" w:hAnsi="Arial" w:cs="Arial"/>
          <w:sz w:val="20"/>
          <w:szCs w:val="20"/>
        </w:rPr>
        <w:t>27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E44D43">
        <w:rPr>
          <w:rFonts w:ascii="Arial" w:hAnsi="Arial" w:cs="Arial"/>
          <w:sz w:val="20"/>
          <w:szCs w:val="20"/>
        </w:rPr>
        <w:t>março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63F0D208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D3069A3" w14:textId="123BC7D7" w:rsidR="00E92AE1" w:rsidRPr="00E92AE1" w:rsidRDefault="00132434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Mes Diretora –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>
        <w:rPr>
          <w:rFonts w:ascii="Arial" w:eastAsia="Times New Roman" w:hAnsi="Arial" w:cs="Arial"/>
          <w:sz w:val="20"/>
          <w:szCs w:val="20"/>
          <w:lang w:eastAsia="pt-BR"/>
        </w:rPr>
        <w:t>es: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Hordilei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Martins Pereira – MDB, Alexandro Santos Alves Silva – MDB, Claudio </w:t>
      </w:r>
      <w:r w:rsidR="001110E5">
        <w:rPr>
          <w:rFonts w:ascii="Arial" w:eastAsia="Times New Roman" w:hAnsi="Arial" w:cs="Arial"/>
          <w:sz w:val="20"/>
          <w:szCs w:val="20"/>
          <w:lang w:eastAsia="pt-BR"/>
        </w:rPr>
        <w:t xml:space="preserve">Ramos Moreira – PT, Marcos </w:t>
      </w:r>
      <w:proofErr w:type="spellStart"/>
      <w:r w:rsidR="001110E5">
        <w:rPr>
          <w:rFonts w:ascii="Arial" w:eastAsia="Times New Roman" w:hAnsi="Arial" w:cs="Arial"/>
          <w:sz w:val="20"/>
          <w:szCs w:val="20"/>
          <w:lang w:eastAsia="pt-BR"/>
        </w:rPr>
        <w:t>Antonio</w:t>
      </w:r>
      <w:proofErr w:type="spellEnd"/>
      <w:r w:rsidR="001110E5">
        <w:rPr>
          <w:rFonts w:ascii="Arial" w:eastAsia="Times New Roman" w:hAnsi="Arial" w:cs="Arial"/>
          <w:sz w:val="20"/>
          <w:szCs w:val="20"/>
          <w:lang w:eastAsia="pt-BR"/>
        </w:rPr>
        <w:t xml:space="preserve"> Castello – Podemos e Eliel de Souza - Republicanos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2026-03-30T20:22:00Z</dcterms:created>
  <dcterms:modified xsi:type="dcterms:W3CDTF">2026-03-30T20:30:00Z</dcterms:modified>
</cp:coreProperties>
</file>