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AE4F8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7C025B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</w:t>
      </w:r>
      <w:r w:rsidR="007C025B">
        <w:rPr>
          <w:rFonts w:ascii="Arial" w:hAnsi="Arial" w:cs="Arial"/>
          <w:b/>
          <w:sz w:val="20"/>
          <w:szCs w:val="20"/>
        </w:rPr>
        <w:t>2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4D2EF6A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DB9488D" w14:textId="77777777" w:rsidR="005C23E3" w:rsidRDefault="007C025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Autoriza a adoção de equipamentos públicos e de espaços complementares por pessoas físicas e jurídicas no Município </w:t>
      </w:r>
      <w:r>
        <w:rPr>
          <w:rFonts w:ascii="Arial" w:hAnsi="Arial" w:cs="Arial"/>
          <w:sz w:val="20"/>
          <w:szCs w:val="20"/>
        </w:rPr>
        <w:t>de</w:t>
      </w:r>
      <w:r w:rsidRPr="007C025B">
        <w:rPr>
          <w:rFonts w:ascii="Arial" w:hAnsi="Arial" w:cs="Arial"/>
          <w:sz w:val="20"/>
          <w:szCs w:val="20"/>
        </w:rPr>
        <w:t xml:space="preserve"> Ferraz </w:t>
      </w:r>
      <w:r>
        <w:rPr>
          <w:rFonts w:ascii="Arial" w:hAnsi="Arial" w:cs="Arial"/>
          <w:sz w:val="20"/>
          <w:szCs w:val="20"/>
        </w:rPr>
        <w:t>de</w:t>
      </w:r>
      <w:r w:rsidRPr="007C025B">
        <w:rPr>
          <w:rFonts w:ascii="Arial" w:hAnsi="Arial" w:cs="Arial"/>
          <w:sz w:val="20"/>
          <w:szCs w:val="20"/>
        </w:rPr>
        <w:t xml:space="preserve"> Vasconcelos</w:t>
      </w:r>
      <w:r w:rsidR="00BA5B41">
        <w:rPr>
          <w:rFonts w:ascii="Arial" w:hAnsi="Arial" w:cs="Arial"/>
          <w:sz w:val="20"/>
          <w:szCs w:val="20"/>
        </w:rPr>
        <w:t>.</w:t>
      </w:r>
    </w:p>
    <w:p w14:paraId="68210191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BC4A20E" w14:textId="77777777" w:rsidR="007D5235" w:rsidRPr="00C25B64" w:rsidRDefault="007C025B" w:rsidP="007D523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</w:t>
      </w:r>
      <w:r w:rsidR="00B07B01">
        <w:rPr>
          <w:rFonts w:ascii="Arial" w:hAnsi="Arial" w:cs="Arial"/>
          <w:b/>
          <w:sz w:val="20"/>
          <w:szCs w:val="20"/>
        </w:rPr>
        <w:t xml:space="preserve"> DE FERRAZ DE VASCONCELOS, </w:t>
      </w:r>
      <w:r w:rsidR="007D5235"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1189A883" w14:textId="77777777" w:rsidR="007D5235" w:rsidRDefault="007D5235" w:rsidP="007D523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276047" w14:textId="6912709F" w:rsidR="00AD1C95" w:rsidRDefault="007D5235" w:rsidP="007D52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4FA550E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1D3783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E759A8" w14:textId="77777777" w:rsidR="007C025B" w:rsidRDefault="00127A68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7C025B" w:rsidRPr="007C025B">
        <w:rPr>
          <w:rFonts w:ascii="Arial" w:hAnsi="Arial" w:cs="Arial"/>
          <w:sz w:val="20"/>
          <w:szCs w:val="20"/>
        </w:rPr>
        <w:t xml:space="preserve"> Fica autorizada a adoção de equipamentos públicos e dos espaços complementares por pessoas físicas e jurídicas no Município de Ferraz de Vasconcelos.</w:t>
      </w:r>
    </w:p>
    <w:p w14:paraId="29675D4C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2E939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Parágrafo único.</w:t>
      </w:r>
      <w:r w:rsidRPr="007C025B">
        <w:rPr>
          <w:rFonts w:ascii="Arial" w:hAnsi="Arial" w:cs="Arial"/>
          <w:sz w:val="20"/>
          <w:szCs w:val="20"/>
        </w:rPr>
        <w:t xml:space="preserve"> A adoção de que trata esta Lei não altera a natureza dos equipamentos públicos e se dará sem prejuízo da função do Executivo Municipal de administrá-los e fiscalizá-los.</w:t>
      </w:r>
    </w:p>
    <w:p w14:paraId="3C6A2DE3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6F32CF" w14:textId="77777777" w:rsidR="007C025B" w:rsidRDefault="007C025B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5235">
        <w:rPr>
          <w:rFonts w:ascii="Arial" w:hAnsi="Arial" w:cs="Arial"/>
          <w:bCs/>
          <w:sz w:val="20"/>
          <w:szCs w:val="20"/>
        </w:rPr>
        <w:t>CAPÍTULO I</w:t>
      </w:r>
    </w:p>
    <w:p w14:paraId="77AF9852" w14:textId="77777777" w:rsidR="007D5235" w:rsidRPr="007D5235" w:rsidRDefault="007D5235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4FD04C4" w14:textId="77777777" w:rsidR="007C025B" w:rsidRPr="007D5235" w:rsidRDefault="007C025B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5235">
        <w:rPr>
          <w:rFonts w:ascii="Arial" w:hAnsi="Arial" w:cs="Arial"/>
          <w:bCs/>
          <w:sz w:val="20"/>
          <w:szCs w:val="20"/>
        </w:rPr>
        <w:t>DAS NORMAS GERAIS</w:t>
      </w:r>
    </w:p>
    <w:p w14:paraId="09ACBDAE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F573F5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2º</w:t>
      </w:r>
      <w:r w:rsidRPr="007C025B">
        <w:rPr>
          <w:rFonts w:ascii="Arial" w:hAnsi="Arial" w:cs="Arial"/>
          <w:sz w:val="20"/>
          <w:szCs w:val="20"/>
        </w:rPr>
        <w:t xml:space="preserve"> A adoção de que trata esta Lei será regida pelos princípios da supremacia do interesse público e da publicidade e pe</w:t>
      </w:r>
      <w:r>
        <w:rPr>
          <w:rFonts w:ascii="Arial" w:hAnsi="Arial" w:cs="Arial"/>
          <w:sz w:val="20"/>
          <w:szCs w:val="20"/>
        </w:rPr>
        <w:t>l</w:t>
      </w:r>
      <w:r w:rsidRPr="007C025B">
        <w:rPr>
          <w:rFonts w:ascii="Arial" w:hAnsi="Arial" w:cs="Arial"/>
          <w:sz w:val="20"/>
          <w:szCs w:val="20"/>
        </w:rPr>
        <w:t>a promoção da participação da sociedade na gestão ambiental, gestão social, bem como será, em cada caso, fruto de análise de conveniência e oportunidade do Executivo Municipal, orientando-se pelos seguintes objetivos:</w:t>
      </w:r>
    </w:p>
    <w:p w14:paraId="5D6E5D3C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BC1D4" w14:textId="267379C0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Preservação da vocação e da finalidade pública dos equipamentos públicos;</w:t>
      </w:r>
    </w:p>
    <w:p w14:paraId="1D2ACBF8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47C598" w14:textId="0D15ECD1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Ampliação da utilização dos equipamentos públicos pela</w:t>
      </w:r>
      <w:r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população;</w:t>
      </w:r>
    </w:p>
    <w:p w14:paraId="58D0C454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74417E" w14:textId="0DDFABDC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respeito às normas municipais referentes ao uso dos equipamentos públicos e à paisagem urbana;</w:t>
      </w:r>
    </w:p>
    <w:p w14:paraId="530343D1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01608E" w14:textId="5C08A733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IV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Promoção de melhorias nos equipamentos públicos; </w:t>
      </w:r>
      <w:r>
        <w:rPr>
          <w:rFonts w:ascii="Arial" w:hAnsi="Arial" w:cs="Arial"/>
          <w:sz w:val="20"/>
          <w:szCs w:val="20"/>
        </w:rPr>
        <w:t>e</w:t>
      </w:r>
    </w:p>
    <w:p w14:paraId="1B147116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E20300" w14:textId="3F4D7F2B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Desoneração dos cofres públicos, com respeito ao interesse</w:t>
      </w:r>
      <w:r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público.</w:t>
      </w:r>
    </w:p>
    <w:p w14:paraId="4599E18E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6ED429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3º</w:t>
      </w:r>
      <w:r w:rsidRPr="007C025B">
        <w:rPr>
          <w:rFonts w:ascii="Arial" w:hAnsi="Arial" w:cs="Arial"/>
          <w:sz w:val="20"/>
          <w:szCs w:val="20"/>
        </w:rPr>
        <w:t xml:space="preserve"> Para os fins desta Lei consideram-se equipamentos</w:t>
      </w:r>
      <w:r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públicos, dentre outros:</w:t>
      </w:r>
      <w:r w:rsidRPr="007C025B">
        <w:rPr>
          <w:rFonts w:ascii="Arial" w:hAnsi="Arial" w:cs="Arial"/>
          <w:sz w:val="20"/>
          <w:szCs w:val="20"/>
        </w:rPr>
        <w:tab/>
      </w:r>
    </w:p>
    <w:p w14:paraId="25CDFEFD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BBFE6F" w14:textId="7A431202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Parques urbanos;</w:t>
      </w:r>
    </w:p>
    <w:p w14:paraId="71A6AA80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1CCFF3" w14:textId="415EEC93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Passarelas;</w:t>
      </w:r>
    </w:p>
    <w:p w14:paraId="59ADFF46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627F22" w14:textId="21E7EE4F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logradouros;</w:t>
      </w:r>
    </w:p>
    <w:p w14:paraId="0CD9F285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B41DBB" w14:textId="03271193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IV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Passeios;</w:t>
      </w:r>
    </w:p>
    <w:p w14:paraId="5E0A8D00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AE57BCF" w14:textId="2039A20D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Fachadas de prédios públicos;</w:t>
      </w:r>
    </w:p>
    <w:p w14:paraId="2D0625EF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0CB64C0" w14:textId="55D0241C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Monumentos;</w:t>
      </w:r>
    </w:p>
    <w:p w14:paraId="2E3D9398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E50E90" w14:textId="5FE9FA8B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viadutos, pontes e túneis;</w:t>
      </w:r>
    </w:p>
    <w:p w14:paraId="2EB81C4D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6C8B0B" w14:textId="0B53F3AE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VIII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equipamentos esportivos; e</w:t>
      </w:r>
    </w:p>
    <w:p w14:paraId="0C64E4BE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1F11F2" w14:textId="68227163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IX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Empenas cegas de prédios públicos.</w:t>
      </w:r>
    </w:p>
    <w:p w14:paraId="7D002895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21DAC4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Parágrafo único.</w:t>
      </w:r>
      <w:r w:rsidRPr="007C025B">
        <w:rPr>
          <w:rFonts w:ascii="Arial" w:hAnsi="Arial" w:cs="Arial"/>
          <w:sz w:val="20"/>
          <w:szCs w:val="20"/>
        </w:rPr>
        <w:t xml:space="preserve"> O Executivo Municipal, por meio de decreto, poderá regulamentar outros equipamentos públicos passíveis da adoção de que trata esta Lei.</w:t>
      </w:r>
    </w:p>
    <w:p w14:paraId="4FD23458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2EF513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4º</w:t>
      </w:r>
      <w:r w:rsidRPr="007C025B">
        <w:rPr>
          <w:rFonts w:ascii="Arial" w:hAnsi="Arial" w:cs="Arial"/>
          <w:sz w:val="20"/>
          <w:szCs w:val="20"/>
        </w:rPr>
        <w:t xml:space="preserve"> Para os fins desta Lei consideram-se espaços</w:t>
      </w:r>
      <w:r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 xml:space="preserve">complementares as pequenas áreas remanescentes de desapropriações, os taludes, as áreas vinculadas ao </w:t>
      </w:r>
      <w:r w:rsidRPr="007C025B">
        <w:rPr>
          <w:rFonts w:ascii="Arial" w:hAnsi="Arial" w:cs="Arial"/>
          <w:sz w:val="20"/>
          <w:szCs w:val="20"/>
        </w:rPr>
        <w:lastRenderedPageBreak/>
        <w:t>sistema viário, tais como os canteiros centrais de ruas e avenidas, as rotatórias e os canteiros laterais, e outras áreas aptas a serem vegetadas, porém inadequadas a receber equipamentos de lazer ou esporte.</w:t>
      </w:r>
    </w:p>
    <w:p w14:paraId="7A7CC353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5E36CC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5º</w:t>
      </w:r>
      <w:r w:rsidRPr="007C025B">
        <w:rPr>
          <w:rFonts w:ascii="Arial" w:hAnsi="Arial" w:cs="Arial"/>
          <w:sz w:val="20"/>
          <w:szCs w:val="20"/>
        </w:rPr>
        <w:t xml:space="preserve"> A adoção de equipamento público ou espaços complementares dar-se-á:</w:t>
      </w:r>
    </w:p>
    <w:p w14:paraId="7C68FC75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AA183A" w14:textId="15A81794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De forma integral, quando abranger a totalidade do equipamento público ou espaço complementar; ou</w:t>
      </w:r>
    </w:p>
    <w:p w14:paraId="6429BCA0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704F80" w14:textId="6B52D7B2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De forma parcial, quando abranger somente espaços ou recantos do equipamento público ou do espaço complementar.</w:t>
      </w:r>
    </w:p>
    <w:p w14:paraId="19A6A098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6B9873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1º</w:t>
      </w:r>
      <w:r w:rsidRPr="007C025B">
        <w:rPr>
          <w:rFonts w:ascii="Arial" w:hAnsi="Arial" w:cs="Arial"/>
          <w:sz w:val="20"/>
          <w:szCs w:val="20"/>
        </w:rPr>
        <w:t xml:space="preserve"> Fica permitida a adoção de mais de um equipamento público ou espaço complementar por um mesmo interessado.</w:t>
      </w:r>
    </w:p>
    <w:p w14:paraId="42C43437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1403E9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2º</w:t>
      </w:r>
      <w:r w:rsidRPr="007C025B">
        <w:rPr>
          <w:rFonts w:ascii="Arial" w:hAnsi="Arial" w:cs="Arial"/>
          <w:sz w:val="20"/>
          <w:szCs w:val="20"/>
        </w:rPr>
        <w:t xml:space="preserve"> Fica permitida a adoção de equipamento público ou espaço complementar por grupo de pessoas, físicas ou jurídicas, interessadas.</w:t>
      </w:r>
    </w:p>
    <w:p w14:paraId="26E6EAFF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D1FB1A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3º</w:t>
      </w:r>
      <w:r w:rsidRPr="007C025B">
        <w:rPr>
          <w:rFonts w:ascii="Arial" w:hAnsi="Arial" w:cs="Arial"/>
          <w:sz w:val="20"/>
          <w:szCs w:val="20"/>
        </w:rPr>
        <w:t xml:space="preserve"> A adoção, em qualquer de suas modalidades, poderá ser</w:t>
      </w:r>
      <w:r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ajustada:</w:t>
      </w:r>
    </w:p>
    <w:p w14:paraId="299ACC58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9E12C7" w14:textId="303634CC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Por meio de execução direta das medidas de conservação, manutenção e melhorias por parte do adotante ou de prepostos por ele indicado.</w:t>
      </w:r>
    </w:p>
    <w:p w14:paraId="754328B8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7DFF2D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4°</w:t>
      </w:r>
      <w:r w:rsidRPr="007C025B">
        <w:rPr>
          <w:rFonts w:ascii="Arial" w:hAnsi="Arial" w:cs="Arial"/>
          <w:sz w:val="20"/>
          <w:szCs w:val="20"/>
        </w:rPr>
        <w:t xml:space="preserve"> Fica permitida a adoção de equipamento público ou espaço complementar visando especificamente a melhoria na área escolhida pelo adotante ou designada pelo Executivo Municipal, caso em que haverá rol de obrigações e procedimentos de conservação, manutenção, restauro e aproveitamento a ser regulamentado pelo Executivo Municipal.</w:t>
      </w:r>
    </w:p>
    <w:p w14:paraId="78B31D36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74A5D8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6º</w:t>
      </w:r>
      <w:r w:rsidRPr="007C025B">
        <w:rPr>
          <w:rFonts w:ascii="Arial" w:hAnsi="Arial" w:cs="Arial"/>
          <w:sz w:val="20"/>
          <w:szCs w:val="20"/>
        </w:rPr>
        <w:t xml:space="preserve"> Poderão ser conferidas as seguintes contrapartidas ao adotante de equipamentos públicos e espaços complementares, conforme análise do órgão ou da entidade municipal competente, como incentivo e reconhecimento das contribuições para a gestão do equipamento público ou espaço complementar:</w:t>
      </w:r>
    </w:p>
    <w:p w14:paraId="380B0172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43522D" w14:textId="2A943474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Instalação de elementos identificadores do adotante no local adotado ou no seu entorno, na forma prevista em regulamento;</w:t>
      </w:r>
    </w:p>
    <w:p w14:paraId="72F0824E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B44111" w14:textId="4EDF98AA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Inserção da identificação do adotante nas sinalizações do equipamento público ou espaço complementar;</w:t>
      </w:r>
    </w:p>
    <w:p w14:paraId="65CDD2B5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C311646" w14:textId="24196430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uso nas publicidades próprias dos dizeres "Uma empresa parceira de Ferraz de Vasconcelos" ou </w:t>
      </w:r>
      <w:r>
        <w:rPr>
          <w:rFonts w:ascii="Arial" w:hAnsi="Arial" w:cs="Arial"/>
          <w:sz w:val="20"/>
          <w:szCs w:val="20"/>
        </w:rPr>
        <w:t>“</w:t>
      </w:r>
      <w:r w:rsidRPr="007C025B">
        <w:rPr>
          <w:rFonts w:ascii="Arial" w:hAnsi="Arial" w:cs="Arial"/>
          <w:sz w:val="20"/>
          <w:szCs w:val="20"/>
        </w:rPr>
        <w:t>um (a) parceiro (a) de Ferraz de Vasconcelos", conforme o caso, acompanhado do brasão oficiai do Município de Ferraz de Vasconcelos, condicionado à magnitude da adoção formalizada, na forma do regulamento.</w:t>
      </w:r>
    </w:p>
    <w:p w14:paraId="523040E3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362CEB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1º</w:t>
      </w:r>
      <w:r w:rsidRPr="007C025B">
        <w:rPr>
          <w:rFonts w:ascii="Arial" w:hAnsi="Arial" w:cs="Arial"/>
          <w:sz w:val="20"/>
          <w:szCs w:val="20"/>
        </w:rPr>
        <w:t xml:space="preserve"> A identificação do adotante do equipamento público ou espaço complementar de que trata o inc. I deste artigo deverá respeitar as normas municipais de controle da poluição visual.</w:t>
      </w:r>
    </w:p>
    <w:p w14:paraId="5965EECA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8696CC" w14:textId="77777777" w:rsidR="007C025B" w:rsidRDefault="007C025B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5235">
        <w:rPr>
          <w:rFonts w:ascii="Arial" w:hAnsi="Arial" w:cs="Arial"/>
          <w:bCs/>
          <w:sz w:val="20"/>
          <w:szCs w:val="20"/>
        </w:rPr>
        <w:t>CAPÍTULO II</w:t>
      </w:r>
    </w:p>
    <w:p w14:paraId="1C9FC5A9" w14:textId="77777777" w:rsidR="007D5235" w:rsidRPr="007D5235" w:rsidRDefault="007D5235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453DAA9" w14:textId="77777777" w:rsidR="007C025B" w:rsidRPr="007D5235" w:rsidRDefault="007C025B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5235">
        <w:rPr>
          <w:rFonts w:ascii="Arial" w:hAnsi="Arial" w:cs="Arial"/>
          <w:bCs/>
          <w:sz w:val="20"/>
          <w:szCs w:val="20"/>
        </w:rPr>
        <w:t>DO PROCEDIMENTO PARA ADOÇÃO E DO TERMO DE ADOÇÃO</w:t>
      </w:r>
    </w:p>
    <w:p w14:paraId="7FF87B54" w14:textId="77777777" w:rsidR="007C025B" w:rsidRPr="007C025B" w:rsidRDefault="007C025B" w:rsidP="007C02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AA041F8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7</w:t>
      </w:r>
      <w:r>
        <w:rPr>
          <w:rFonts w:ascii="Arial" w:hAnsi="Arial" w:cs="Arial"/>
          <w:b/>
          <w:sz w:val="20"/>
          <w:szCs w:val="20"/>
        </w:rPr>
        <w:t>º</w:t>
      </w:r>
      <w:r w:rsidRPr="007C025B">
        <w:rPr>
          <w:rFonts w:ascii="Arial" w:hAnsi="Arial" w:cs="Arial"/>
          <w:sz w:val="20"/>
          <w:szCs w:val="20"/>
        </w:rPr>
        <w:t xml:space="preserve"> O procedimento de adoção poderá ser de iniciativa do Executivo Municipal ou iniciado por manifestação de particular interessado.</w:t>
      </w:r>
    </w:p>
    <w:p w14:paraId="710FBC0E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AE53C2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8º</w:t>
      </w:r>
      <w:r w:rsidRPr="007C025B">
        <w:rPr>
          <w:rFonts w:ascii="Arial" w:hAnsi="Arial" w:cs="Arial"/>
          <w:sz w:val="20"/>
          <w:szCs w:val="20"/>
        </w:rPr>
        <w:t xml:space="preserve"> Para a formalização da adoção, o órgão ou a entidade municipal competente e o adotante deverão firmar Termo de Adoção, que deverá conter, no mínimo, as seguintes disposições: </w:t>
      </w:r>
    </w:p>
    <w:p w14:paraId="51CFF7E4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 </w:t>
      </w:r>
    </w:p>
    <w:p w14:paraId="3265CB6F" w14:textId="386E95C6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lastRenderedPageBreak/>
        <w:t>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Delimitação do objeto;</w:t>
      </w:r>
    </w:p>
    <w:p w14:paraId="0CA989DB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3A207E" w14:textId="2E9B08B3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Prazo de vigência;</w:t>
      </w:r>
    </w:p>
    <w:p w14:paraId="0F158741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EFD39F7" w14:textId="5F1A4D54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obrigações assumidas pelo adotante e pelo Município de Ferraz de Vasconcelos;</w:t>
      </w:r>
    </w:p>
    <w:p w14:paraId="3E107EB3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A5C1C6" w14:textId="47F28621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IV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Estimativa de valores investidos pelo adotante;</w:t>
      </w:r>
    </w:p>
    <w:p w14:paraId="43C29B38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07AB50" w14:textId="19D96349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Plano de trabalho; e</w:t>
      </w:r>
    </w:p>
    <w:p w14:paraId="2022BFC3" w14:textId="77777777" w:rsidR="007D5235" w:rsidRDefault="007D5235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43E27E" w14:textId="1BC999EC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VI</w:t>
      </w:r>
      <w:r w:rsidR="007D5235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Penalidades aplicáveis;</w:t>
      </w:r>
    </w:p>
    <w:p w14:paraId="0554F217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D80891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1º</w:t>
      </w:r>
      <w:r w:rsidRPr="007C025B">
        <w:rPr>
          <w:rFonts w:ascii="Arial" w:hAnsi="Arial" w:cs="Arial"/>
          <w:sz w:val="20"/>
          <w:szCs w:val="20"/>
        </w:rPr>
        <w:t xml:space="preserve"> A adoção de monumento será objeto de instrumento próprio e específico, devendo ser elaborado Termo de Adoção de Monumento, no qual constará rol de obrigações e procedimentos de conservação, manutenção e restauro, em conformidade com legislação especifica.</w:t>
      </w:r>
    </w:p>
    <w:p w14:paraId="48CD5C98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661CB9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2º</w:t>
      </w:r>
      <w:r w:rsidRPr="007C025B">
        <w:rPr>
          <w:rFonts w:ascii="Arial" w:hAnsi="Arial" w:cs="Arial"/>
          <w:sz w:val="20"/>
          <w:szCs w:val="20"/>
        </w:rPr>
        <w:t xml:space="preserve"> O adotante deverá identificar a existência de áreas de preservação permanente nos casos de adoção de parques ou espaços complementares, podendo cercá-las, caso em que essas áreas deverão ser reservadas para a preservação da biodiversidade local, nos termos definidos pelo Executivo Municipal,</w:t>
      </w:r>
    </w:p>
    <w:p w14:paraId="2D688F18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4653CD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3º</w:t>
      </w:r>
      <w:r w:rsidRPr="007C025B">
        <w:rPr>
          <w:rFonts w:ascii="Arial" w:hAnsi="Arial" w:cs="Arial"/>
          <w:sz w:val="20"/>
          <w:szCs w:val="20"/>
        </w:rPr>
        <w:t xml:space="preserve"> Caberá ao adotante apresentar relatório semestral, no caso de adoção de parques, e anual, no caso de adoção dos demais equipamentos públicos e espaços complementares, descrevendo os investimentos, o calendário de conservação e as melhorias promovidas no local adotado.</w:t>
      </w:r>
    </w:p>
    <w:p w14:paraId="6809AF45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95D510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9º</w:t>
      </w:r>
      <w:r w:rsidRPr="007C025B">
        <w:rPr>
          <w:rFonts w:ascii="Arial" w:hAnsi="Arial" w:cs="Arial"/>
          <w:sz w:val="20"/>
          <w:szCs w:val="20"/>
        </w:rPr>
        <w:t xml:space="preserve"> A adoção será fiscalizada pelo órgão ou pela entidade municipal a que estiver vinculada o equipamento público ou espaço complementar, que poderá aplicar penalidades, revogar ou rescindir o Termo de Adoção.</w:t>
      </w:r>
    </w:p>
    <w:p w14:paraId="4D1BAF56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225EFE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10.</w:t>
      </w:r>
      <w:r w:rsidRPr="007C025B">
        <w:rPr>
          <w:rFonts w:ascii="Arial" w:hAnsi="Arial" w:cs="Arial"/>
          <w:sz w:val="20"/>
          <w:szCs w:val="20"/>
        </w:rPr>
        <w:t xml:space="preserve"> A adoção terá o prazo mínimo de 01 (um) ano e máximo de 02 (dois) anos, podendo ser prorrogada por igual período, a critério do órgão ou da entidade municipal competente, observado o desempenho prévio do adotante na execução de suas obrigações.</w:t>
      </w:r>
    </w:p>
    <w:p w14:paraId="53A30D90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4C3E9B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Parágrafo único.</w:t>
      </w:r>
      <w:r w:rsidRPr="007C025B">
        <w:rPr>
          <w:rFonts w:ascii="Arial" w:hAnsi="Arial" w:cs="Arial"/>
          <w:sz w:val="20"/>
          <w:szCs w:val="20"/>
        </w:rPr>
        <w:t xml:space="preserve"> Em caso de prorrogação, o plano de trabalho e as contrapartidas estabelecidas deverão ser revistos.</w:t>
      </w:r>
    </w:p>
    <w:p w14:paraId="550A8C5C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B78D47" w14:textId="77777777" w:rsidR="007C025B" w:rsidRDefault="007C025B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5235">
        <w:rPr>
          <w:rFonts w:ascii="Arial" w:hAnsi="Arial" w:cs="Arial"/>
          <w:bCs/>
          <w:sz w:val="20"/>
          <w:szCs w:val="20"/>
        </w:rPr>
        <w:t>CAPÍTULO III</w:t>
      </w:r>
    </w:p>
    <w:p w14:paraId="19D3F7FE" w14:textId="77777777" w:rsidR="007D5235" w:rsidRPr="007D5235" w:rsidRDefault="007D5235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CB386D3" w14:textId="77777777" w:rsidR="007C025B" w:rsidRPr="007D5235" w:rsidRDefault="007C025B" w:rsidP="007C025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5235">
        <w:rPr>
          <w:rFonts w:ascii="Arial" w:hAnsi="Arial" w:cs="Arial"/>
          <w:bCs/>
          <w:sz w:val="20"/>
          <w:szCs w:val="20"/>
        </w:rPr>
        <w:t>DAS DISPOSIÇÕES FINAIS</w:t>
      </w:r>
    </w:p>
    <w:p w14:paraId="3E484909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26A5D3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11.</w:t>
      </w:r>
      <w:r w:rsidRPr="007C025B">
        <w:rPr>
          <w:rFonts w:ascii="Arial" w:hAnsi="Arial" w:cs="Arial"/>
          <w:sz w:val="20"/>
          <w:szCs w:val="20"/>
        </w:rPr>
        <w:t xml:space="preserve"> Quando a adoção ou doação implicar substancial revitalização ou melhoria do equipamento público ou espaço complementar, será permitida, em acréscimo às contrapartidas de que trata o art. 6</w:t>
      </w:r>
      <w:r w:rsidR="00EB37F5">
        <w:rPr>
          <w:rFonts w:ascii="Arial" w:hAnsi="Arial" w:cs="Arial"/>
          <w:sz w:val="20"/>
          <w:szCs w:val="20"/>
        </w:rPr>
        <w:t>º</w:t>
      </w:r>
      <w:r w:rsidRPr="007C025B">
        <w:rPr>
          <w:rFonts w:ascii="Arial" w:hAnsi="Arial" w:cs="Arial"/>
          <w:sz w:val="20"/>
          <w:szCs w:val="20"/>
        </w:rPr>
        <w:t xml:space="preserve"> desta Lei, a instalação de identificação comemorativa às melhorias implementadas.</w:t>
      </w:r>
    </w:p>
    <w:p w14:paraId="43B47B66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ED9AF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1°</w:t>
      </w:r>
      <w:r w:rsidRPr="007C025B">
        <w:rPr>
          <w:rFonts w:ascii="Arial" w:hAnsi="Arial" w:cs="Arial"/>
          <w:sz w:val="20"/>
          <w:szCs w:val="20"/>
        </w:rPr>
        <w:t xml:space="preserve"> A identificação deverá conter a data da implementação, o tipo de intervenção e a identificação das pessoas físicas ou jurídicas responsáveis pela revitalização ou melhoria.</w:t>
      </w:r>
    </w:p>
    <w:p w14:paraId="4F22026A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36F74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§ 2°</w:t>
      </w:r>
      <w:r w:rsidRPr="007C025B">
        <w:rPr>
          <w:rFonts w:ascii="Arial" w:hAnsi="Arial" w:cs="Arial"/>
          <w:sz w:val="20"/>
          <w:szCs w:val="20"/>
        </w:rPr>
        <w:t xml:space="preserve"> A autorização para a instalação da identificação competirá ao órgão ou à entidade municipal a que estiver vinculado o equipamento público, que definirá, também, as dimensões da identificação, que estarão compreendidas entre o tamanho mínimo de 210 mm (duzentos e dez milímetros) por 297 mm (duzentos e noventa e sete milímetros) e máximo de 297 mm (duzentos e noventa e sete milímetros) por 420 mm (quatrocentos e vinte milímetros).</w:t>
      </w:r>
    </w:p>
    <w:p w14:paraId="729791E6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C51FD0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12.</w:t>
      </w:r>
      <w:r w:rsidRPr="007C025B">
        <w:rPr>
          <w:rFonts w:ascii="Arial" w:hAnsi="Arial" w:cs="Arial"/>
          <w:sz w:val="20"/>
          <w:szCs w:val="20"/>
        </w:rPr>
        <w:t xml:space="preserve"> O plantio de árvores nativas no local adotado, deverá ser autorizado pelo órgão competente.</w:t>
      </w:r>
    </w:p>
    <w:p w14:paraId="146240C3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5B3649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37F5">
        <w:rPr>
          <w:rFonts w:ascii="Arial" w:hAnsi="Arial" w:cs="Arial"/>
          <w:b/>
          <w:sz w:val="20"/>
          <w:szCs w:val="20"/>
        </w:rPr>
        <w:t>Art. 13.</w:t>
      </w:r>
      <w:r w:rsidRPr="007C025B">
        <w:rPr>
          <w:rFonts w:ascii="Arial" w:hAnsi="Arial" w:cs="Arial"/>
          <w:sz w:val="20"/>
          <w:szCs w:val="20"/>
        </w:rPr>
        <w:t xml:space="preserve"> Fica o adotante obrigado a observar os preceitos do desenho universal, bem como a realizar a manutenção da acessibilidade já existente ou sua ampliação, atendendo ao disposto nas normas técnicas de Acessibilidade a edificações, mobiliário, espaços e equipamentos urbanos (ABNT NBR 9050/05), e alterações posteriores.</w:t>
      </w:r>
    </w:p>
    <w:p w14:paraId="7E3E3FE5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2628EE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37F5">
        <w:rPr>
          <w:rFonts w:ascii="Arial" w:hAnsi="Arial" w:cs="Arial"/>
          <w:b/>
          <w:sz w:val="20"/>
          <w:szCs w:val="20"/>
        </w:rPr>
        <w:t>Art. 14.</w:t>
      </w:r>
      <w:r w:rsidRPr="007C025B">
        <w:rPr>
          <w:rFonts w:ascii="Arial" w:hAnsi="Arial" w:cs="Arial"/>
          <w:sz w:val="20"/>
          <w:szCs w:val="20"/>
        </w:rPr>
        <w:t xml:space="preserve"> Finda a vigência do Termo de Adoção por qualquer motivo, ou descumprimento dos prazos, as melhorias dele decorrentes passarão a integrar o patrimônio público municipal, sem qualquer direito de retenção ou indenização, devendo o adotante efetuar a retirada de seus elementos identificadores no prazo máximo de 5 (cinco) dias úteis.</w:t>
      </w:r>
    </w:p>
    <w:p w14:paraId="13FD0C4E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CDB7A4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37F5">
        <w:rPr>
          <w:rFonts w:ascii="Arial" w:hAnsi="Arial" w:cs="Arial"/>
          <w:b/>
          <w:sz w:val="20"/>
          <w:szCs w:val="20"/>
        </w:rPr>
        <w:t>Art. 15.</w:t>
      </w:r>
      <w:r w:rsidRPr="007C025B">
        <w:rPr>
          <w:rFonts w:ascii="Arial" w:hAnsi="Arial" w:cs="Arial"/>
          <w:sz w:val="20"/>
          <w:szCs w:val="20"/>
        </w:rPr>
        <w:t xml:space="preserve"> Esta Lei entra em vigor na</w:t>
      </w:r>
      <w:r w:rsidR="00EB37F5">
        <w:rPr>
          <w:rFonts w:ascii="Arial" w:hAnsi="Arial" w:cs="Arial"/>
          <w:sz w:val="20"/>
          <w:szCs w:val="20"/>
        </w:rPr>
        <w:t xml:space="preserve"> data de</w:t>
      </w:r>
      <w:r w:rsidRPr="007C025B">
        <w:rPr>
          <w:rFonts w:ascii="Arial" w:hAnsi="Arial" w:cs="Arial"/>
          <w:sz w:val="20"/>
          <w:szCs w:val="20"/>
        </w:rPr>
        <w:t xml:space="preserve"> sua publicação.</w:t>
      </w:r>
    </w:p>
    <w:p w14:paraId="080B0E56" w14:textId="77777777" w:rsidR="00EB37F5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ab/>
      </w:r>
    </w:p>
    <w:p w14:paraId="2B31A12E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01346F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Palácio da</w:t>
      </w:r>
      <w:r w:rsidR="00EB37F5">
        <w:rPr>
          <w:rFonts w:ascii="Arial" w:hAnsi="Arial" w:cs="Arial"/>
          <w:sz w:val="20"/>
          <w:szCs w:val="20"/>
        </w:rPr>
        <w:t xml:space="preserve"> U</w:t>
      </w:r>
      <w:r w:rsidRPr="007C025B">
        <w:rPr>
          <w:rFonts w:ascii="Arial" w:hAnsi="Arial" w:cs="Arial"/>
          <w:sz w:val="20"/>
          <w:szCs w:val="20"/>
        </w:rPr>
        <w:t>va Itál</w:t>
      </w:r>
      <w:r w:rsidR="00EB37F5">
        <w:rPr>
          <w:rFonts w:ascii="Arial" w:hAnsi="Arial" w:cs="Arial"/>
          <w:sz w:val="20"/>
          <w:szCs w:val="20"/>
        </w:rPr>
        <w:t>i</w:t>
      </w:r>
      <w:r w:rsidRPr="007C025B">
        <w:rPr>
          <w:rFonts w:ascii="Arial" w:hAnsi="Arial" w:cs="Arial"/>
          <w:sz w:val="20"/>
          <w:szCs w:val="20"/>
        </w:rPr>
        <w:t>a</w:t>
      </w:r>
      <w:r w:rsidR="00EB37F5">
        <w:rPr>
          <w:rFonts w:ascii="Arial" w:hAnsi="Arial" w:cs="Arial"/>
          <w:sz w:val="20"/>
          <w:szCs w:val="20"/>
        </w:rPr>
        <w:t xml:space="preserve">, </w:t>
      </w:r>
      <w:r w:rsidRPr="007C025B">
        <w:rPr>
          <w:rFonts w:ascii="Arial" w:hAnsi="Arial" w:cs="Arial"/>
          <w:sz w:val="20"/>
          <w:szCs w:val="20"/>
        </w:rPr>
        <w:t>12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agosto de 2020.</w:t>
      </w:r>
    </w:p>
    <w:p w14:paraId="0B454E2F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D51BF7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9ECA18" w14:textId="77777777" w:rsidR="00EB37F5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</w:t>
      </w:r>
      <w:r w:rsidR="007C025B" w:rsidRPr="007C025B">
        <w:rPr>
          <w:rFonts w:ascii="Arial" w:hAnsi="Arial" w:cs="Arial"/>
          <w:sz w:val="20"/>
          <w:szCs w:val="20"/>
        </w:rPr>
        <w:t>DES CHACON</w:t>
      </w:r>
    </w:p>
    <w:p w14:paraId="64BBBBD4" w14:textId="77777777" w:rsidR="007C025B" w:rsidRPr="007C025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Prefeito</w:t>
      </w:r>
    </w:p>
    <w:p w14:paraId="1121AE4D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 </w:t>
      </w:r>
    </w:p>
    <w:p w14:paraId="5428843B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65B77B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Registrada no Departamento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EB37F5" w:rsidRPr="007C025B">
        <w:rPr>
          <w:rFonts w:ascii="Arial" w:hAnsi="Arial" w:cs="Arial"/>
          <w:sz w:val="20"/>
          <w:szCs w:val="20"/>
        </w:rPr>
        <w:t xml:space="preserve">Administração </w:t>
      </w:r>
      <w:r w:rsidRPr="007C025B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>
        <w:rPr>
          <w:rFonts w:ascii="Arial" w:hAnsi="Arial" w:cs="Arial"/>
          <w:sz w:val="20"/>
          <w:szCs w:val="20"/>
        </w:rPr>
        <w:t xml:space="preserve">o </w:t>
      </w:r>
      <w:r w:rsidRPr="007C025B">
        <w:rPr>
          <w:rFonts w:ascii="Arial" w:hAnsi="Arial" w:cs="Arial"/>
          <w:sz w:val="20"/>
          <w:szCs w:val="20"/>
        </w:rPr>
        <w:t>de Avisos do Paço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Municipal e no B.O.M. - Boletim Oficial Municipal</w:t>
      </w:r>
      <w:r w:rsidR="00EB37F5">
        <w:rPr>
          <w:rFonts w:ascii="Arial" w:hAnsi="Arial" w:cs="Arial"/>
          <w:sz w:val="20"/>
          <w:szCs w:val="20"/>
        </w:rPr>
        <w:t>.</w:t>
      </w:r>
    </w:p>
    <w:p w14:paraId="263CC0AD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B88245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6A473D" w14:textId="77777777" w:rsidR="00EB37F5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CÁRMEN LÚCIA LORENT</w:t>
      </w:r>
      <w:r w:rsidR="00EB37F5">
        <w:rPr>
          <w:rFonts w:ascii="Arial" w:hAnsi="Arial" w:cs="Arial"/>
          <w:sz w:val="20"/>
          <w:szCs w:val="20"/>
        </w:rPr>
        <w:t>E</w:t>
      </w:r>
    </w:p>
    <w:p w14:paraId="003BD584" w14:textId="77777777" w:rsidR="00405B3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Secretária Municipal </w:t>
      </w:r>
      <w:r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Administração</w:t>
      </w:r>
    </w:p>
    <w:p w14:paraId="127AE114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9719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E2888D4" w14:textId="77777777" w:rsidR="009243B3" w:rsidRPr="002A1E80" w:rsidRDefault="009243B3" w:rsidP="007D5235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D44F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3D9FAAD8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7FEE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1BA36432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D096E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93DA788" wp14:editId="2D50F0E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82425570">
    <w:abstractNumId w:val="1"/>
  </w:num>
  <w:num w:numId="2" w16cid:durableId="923030119">
    <w:abstractNumId w:val="7"/>
  </w:num>
  <w:num w:numId="3" w16cid:durableId="721440092">
    <w:abstractNumId w:val="5"/>
  </w:num>
  <w:num w:numId="4" w16cid:durableId="1442992089">
    <w:abstractNumId w:val="2"/>
  </w:num>
  <w:num w:numId="5" w16cid:durableId="845947637">
    <w:abstractNumId w:val="0"/>
  </w:num>
  <w:num w:numId="6" w16cid:durableId="216746342">
    <w:abstractNumId w:val="6"/>
  </w:num>
  <w:num w:numId="7" w16cid:durableId="1768192723">
    <w:abstractNumId w:val="4"/>
  </w:num>
  <w:num w:numId="8" w16cid:durableId="1142427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92254"/>
    <w:rsid w:val="003B6882"/>
    <w:rsid w:val="003D2349"/>
    <w:rsid w:val="003D26DD"/>
    <w:rsid w:val="003E7C0C"/>
    <w:rsid w:val="00405B3B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381D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C025B"/>
    <w:rsid w:val="007D3200"/>
    <w:rsid w:val="007D5235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36593D0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1352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2020-08-17T17:14:00Z</dcterms:created>
  <dcterms:modified xsi:type="dcterms:W3CDTF">2026-10-09T20:04:00Z</dcterms:modified>
</cp:coreProperties>
</file>